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E11" w:rsidRPr="009B3A82" w:rsidRDefault="00E06E11" w:rsidP="00E06E11">
      <w:pPr>
        <w:rPr>
          <w:rFonts w:ascii="Arial" w:eastAsia="Times New Roman" w:hAnsi="Arial" w:cs="Arial"/>
          <w:b/>
          <w:sz w:val="24"/>
          <w:szCs w:val="24"/>
          <w:lang w:val="es-ES" w:eastAsia="es-ES"/>
        </w:rPr>
      </w:pPr>
    </w:p>
    <w:p w:rsidR="00E06E11" w:rsidRPr="009B3A82" w:rsidRDefault="00E06E11" w:rsidP="00E06E11">
      <w:pPr>
        <w:tabs>
          <w:tab w:val="left" w:pos="0"/>
        </w:tabs>
        <w:spacing w:after="0" w:line="240" w:lineRule="auto"/>
        <w:jc w:val="both"/>
        <w:rPr>
          <w:rFonts w:ascii="Arial" w:eastAsia="Times New Roman" w:hAnsi="Arial" w:cs="Arial"/>
          <w:b/>
          <w:sz w:val="24"/>
          <w:szCs w:val="24"/>
          <w:lang w:val="es-ES" w:eastAsia="es-ES"/>
        </w:rPr>
      </w:pPr>
    </w:p>
    <w:p w:rsidR="00E06E11" w:rsidRPr="009B3A82" w:rsidRDefault="00E06E11" w:rsidP="00E06E11">
      <w:pPr>
        <w:tabs>
          <w:tab w:val="left" w:pos="0"/>
        </w:tabs>
        <w:spacing w:after="0" w:line="240" w:lineRule="auto"/>
        <w:jc w:val="both"/>
        <w:rPr>
          <w:rFonts w:ascii="Arial" w:eastAsia="Times New Roman" w:hAnsi="Arial" w:cs="Arial"/>
          <w:b/>
          <w:sz w:val="24"/>
          <w:szCs w:val="24"/>
          <w:lang w:val="es-ES" w:eastAsia="es-ES"/>
        </w:rPr>
      </w:pPr>
    </w:p>
    <w:p w:rsidR="00E06E11" w:rsidRPr="009B3A82" w:rsidRDefault="00E06E11" w:rsidP="00E06E11">
      <w:pPr>
        <w:spacing w:after="0" w:line="360" w:lineRule="auto"/>
        <w:rPr>
          <w:rFonts w:ascii="Arial" w:eastAsia="Times New Roman" w:hAnsi="Arial" w:cs="Arial"/>
          <w:b/>
          <w:sz w:val="28"/>
          <w:szCs w:val="24"/>
          <w:lang w:val="es-ES" w:eastAsia="es-ES"/>
        </w:rPr>
      </w:pPr>
    </w:p>
    <w:p w:rsidR="00E06E11"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INFORME MENSUAL</w:t>
      </w:r>
    </w:p>
    <w:p w:rsidR="00E06E11" w:rsidRPr="009B3A82" w:rsidRDefault="00E06E11" w:rsidP="00E06E11">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 xml:space="preserve">Área Jurídica </w:t>
      </w:r>
      <w:r w:rsidRPr="009B3A82">
        <w:rPr>
          <w:rFonts w:ascii="Arial" w:eastAsia="Times New Roman" w:hAnsi="Arial" w:cs="Arial"/>
          <w:b/>
          <w:sz w:val="32"/>
          <w:szCs w:val="24"/>
          <w:lang w:val="es-ES" w:eastAsia="es-ES"/>
        </w:rPr>
        <w:t xml:space="preserve"> </w:t>
      </w:r>
    </w:p>
    <w:p w:rsidR="00E06E11" w:rsidRPr="009B3A82" w:rsidRDefault="00E06E11" w:rsidP="00E06E11">
      <w:pPr>
        <w:spacing w:after="0" w:line="360" w:lineRule="auto"/>
        <w:jc w:val="center"/>
        <w:rPr>
          <w:rFonts w:ascii="Arial" w:eastAsia="Times New Roman" w:hAnsi="Arial" w:cs="Arial"/>
          <w:b/>
          <w:sz w:val="32"/>
          <w:szCs w:val="24"/>
          <w:lang w:val="es-ES" w:eastAsia="es-ES"/>
        </w:rPr>
      </w:pPr>
    </w:p>
    <w:p w:rsidR="00E06E11" w:rsidRPr="009B3A82" w:rsidRDefault="00E06E11" w:rsidP="00E06E11">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ENERO 2019</w:t>
      </w:r>
    </w:p>
    <w:p w:rsidR="00E06E11" w:rsidRPr="009B3A82" w:rsidRDefault="00E06E11" w:rsidP="00E06E11">
      <w:pPr>
        <w:spacing w:after="0" w:line="360" w:lineRule="auto"/>
        <w:jc w:val="center"/>
        <w:rPr>
          <w:rFonts w:ascii="Arial" w:eastAsia="Times New Roman" w:hAnsi="Arial" w:cs="Arial"/>
          <w:b/>
          <w:sz w:val="32"/>
          <w:szCs w:val="24"/>
          <w:lang w:val="es-ES" w:eastAsia="es-ES"/>
        </w:rPr>
      </w:pPr>
    </w:p>
    <w:p w:rsidR="00E06E11" w:rsidRPr="009B3A82"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CENTRO PARA EL DESARROLLO DE LAS MUJERES </w:t>
      </w:r>
    </w:p>
    <w:p w:rsidR="00E06E11" w:rsidRPr="009B3A82"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CDM</w:t>
      </w:r>
    </w:p>
    <w:p w:rsidR="00E06E11" w:rsidRPr="009B3A82" w:rsidRDefault="00E06E11" w:rsidP="00E06E11">
      <w:pPr>
        <w:tabs>
          <w:tab w:val="left" w:pos="0"/>
        </w:tabs>
        <w:spacing w:after="0" w:line="360" w:lineRule="auto"/>
        <w:jc w:val="center"/>
        <w:rPr>
          <w:rFonts w:ascii="Arial" w:eastAsia="Times New Roman" w:hAnsi="Arial" w:cs="Arial"/>
          <w:b/>
          <w:sz w:val="32"/>
          <w:szCs w:val="24"/>
          <w:lang w:val="es-ES" w:eastAsia="es-ES"/>
        </w:rPr>
      </w:pPr>
    </w:p>
    <w:p w:rsidR="00E06E11" w:rsidRPr="009B3A82"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JALISCO</w:t>
      </w:r>
    </w:p>
    <w:p w:rsidR="00E06E11" w:rsidRPr="009B3A82" w:rsidRDefault="00E06E11" w:rsidP="00E06E11">
      <w:pPr>
        <w:spacing w:after="0" w:line="360" w:lineRule="auto"/>
        <w:jc w:val="center"/>
        <w:rPr>
          <w:rFonts w:ascii="Arial" w:eastAsia="Times New Roman" w:hAnsi="Arial" w:cs="Arial"/>
          <w:b/>
          <w:sz w:val="32"/>
          <w:szCs w:val="24"/>
          <w:lang w:val="es-ES" w:eastAsia="es-ES"/>
        </w:rPr>
      </w:pPr>
    </w:p>
    <w:p w:rsidR="00E06E11" w:rsidRPr="009B3A82"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INSTITUTO JALISCIENSE DE LAS MUJERES</w:t>
      </w:r>
    </w:p>
    <w:p w:rsidR="00E06E11" w:rsidRPr="009B3A82" w:rsidRDefault="00E06E11" w:rsidP="00E06E11">
      <w:pPr>
        <w:spacing w:after="0" w:line="360" w:lineRule="auto"/>
        <w:jc w:val="center"/>
        <w:rPr>
          <w:rFonts w:ascii="Arial" w:eastAsia="Times New Roman" w:hAnsi="Arial" w:cs="Arial"/>
          <w:b/>
          <w:sz w:val="32"/>
          <w:szCs w:val="24"/>
          <w:lang w:val="es-ES" w:eastAsia="es-ES"/>
        </w:rPr>
      </w:pPr>
    </w:p>
    <w:p w:rsidR="00E06E11" w:rsidRPr="009B3A82"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INSTANCIA MUNICIPAL DE LAS MUJERES EN </w:t>
      </w:r>
    </w:p>
    <w:p w:rsidR="00E06E11" w:rsidRPr="009B3A82" w:rsidRDefault="00E06E11" w:rsidP="00E06E11">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SAN MARTIN DE HIDALGO, JALISCO</w:t>
      </w:r>
    </w:p>
    <w:p w:rsidR="00E06E11" w:rsidRPr="009B3A82" w:rsidRDefault="00E06E11" w:rsidP="00E06E11">
      <w:pPr>
        <w:spacing w:after="0" w:line="360" w:lineRule="auto"/>
        <w:jc w:val="center"/>
        <w:rPr>
          <w:rFonts w:ascii="Arial" w:eastAsia="Times New Roman" w:hAnsi="Arial" w:cs="Arial"/>
          <w:b/>
          <w:sz w:val="28"/>
          <w:szCs w:val="24"/>
          <w:lang w:val="es-ES" w:eastAsia="es-ES"/>
        </w:rPr>
      </w:pPr>
    </w:p>
    <w:p w:rsidR="00E06E11" w:rsidRPr="009B3A82" w:rsidRDefault="00E06E11" w:rsidP="00E06E11">
      <w:pPr>
        <w:spacing w:after="0" w:line="360" w:lineRule="auto"/>
        <w:jc w:val="right"/>
        <w:rPr>
          <w:rFonts w:ascii="Arial" w:eastAsia="Times New Roman" w:hAnsi="Arial" w:cs="Arial"/>
          <w:b/>
          <w:sz w:val="28"/>
          <w:szCs w:val="24"/>
          <w:lang w:val="es-ES" w:eastAsia="es-ES"/>
        </w:rPr>
      </w:pPr>
    </w:p>
    <w:p w:rsidR="00E06E11" w:rsidRPr="009B3A82" w:rsidRDefault="00E06E11" w:rsidP="00E06E11">
      <w:pPr>
        <w:spacing w:after="0" w:line="360" w:lineRule="auto"/>
        <w:jc w:val="right"/>
        <w:rPr>
          <w:rFonts w:ascii="Arial" w:eastAsia="Times New Roman" w:hAnsi="Arial" w:cs="Arial"/>
          <w:b/>
          <w:sz w:val="28"/>
          <w:szCs w:val="24"/>
          <w:lang w:val="es-ES" w:eastAsia="es-ES"/>
        </w:rPr>
      </w:pPr>
    </w:p>
    <w:p w:rsidR="00E06E11" w:rsidRPr="009B3A82" w:rsidRDefault="00E06E11" w:rsidP="00E06E11">
      <w:pPr>
        <w:spacing w:after="0" w:line="360" w:lineRule="auto"/>
        <w:jc w:val="right"/>
        <w:rPr>
          <w:rFonts w:ascii="Arial" w:eastAsia="Times New Roman" w:hAnsi="Arial" w:cs="Arial"/>
          <w:b/>
          <w:sz w:val="28"/>
          <w:szCs w:val="24"/>
          <w:lang w:val="es-ES" w:eastAsia="es-ES"/>
        </w:rPr>
      </w:pPr>
    </w:p>
    <w:p w:rsidR="00E06E11" w:rsidRPr="009B3A82" w:rsidRDefault="00E06E11" w:rsidP="00E06E11">
      <w:pPr>
        <w:spacing w:after="0" w:line="360" w:lineRule="auto"/>
        <w:jc w:val="right"/>
        <w:rPr>
          <w:rFonts w:ascii="Arial" w:eastAsia="Times New Roman" w:hAnsi="Arial" w:cs="Arial"/>
          <w:b/>
          <w:sz w:val="28"/>
          <w:szCs w:val="24"/>
          <w:lang w:val="es-ES" w:eastAsia="es-ES"/>
        </w:rPr>
      </w:pPr>
    </w:p>
    <w:p w:rsidR="00E06E11" w:rsidRPr="009B3A82" w:rsidRDefault="00E06E11" w:rsidP="00E06E11">
      <w:pPr>
        <w:spacing w:after="0" w:line="360" w:lineRule="auto"/>
        <w:jc w:val="right"/>
        <w:rPr>
          <w:rFonts w:ascii="Arial" w:eastAsia="Times New Roman" w:hAnsi="Arial" w:cs="Arial"/>
          <w:b/>
          <w:sz w:val="26"/>
          <w:szCs w:val="26"/>
          <w:lang w:val="es-ES" w:eastAsia="es-ES"/>
        </w:rPr>
      </w:pPr>
      <w:r w:rsidRPr="009B3A82">
        <w:rPr>
          <w:rFonts w:ascii="Arial" w:eastAsia="Times New Roman" w:hAnsi="Arial" w:cs="Arial"/>
          <w:b/>
          <w:sz w:val="26"/>
          <w:szCs w:val="26"/>
          <w:lang w:val="es-ES" w:eastAsia="es-ES"/>
        </w:rPr>
        <w:t xml:space="preserve">SAN MARTÍN DE HIDALGO </w:t>
      </w:r>
    </w:p>
    <w:p w:rsidR="00E06E11" w:rsidRPr="009B3A82" w:rsidRDefault="00E06E11" w:rsidP="00E06E11">
      <w:pPr>
        <w:spacing w:after="0" w:line="240" w:lineRule="auto"/>
        <w:rPr>
          <w:rFonts w:ascii="Arial" w:eastAsia="Times New Roman" w:hAnsi="Arial" w:cs="Arial"/>
          <w:b/>
          <w:sz w:val="28"/>
          <w:szCs w:val="24"/>
          <w:lang w:val="es-ES" w:eastAsia="es-ES"/>
        </w:rPr>
      </w:pPr>
      <w:r w:rsidRPr="009B3A82">
        <w:rPr>
          <w:rFonts w:ascii="Arial" w:eastAsia="Times New Roman" w:hAnsi="Arial" w:cs="Arial"/>
          <w:b/>
          <w:sz w:val="28"/>
          <w:szCs w:val="24"/>
          <w:lang w:val="es-ES" w:eastAsia="es-ES"/>
        </w:rPr>
        <w:br w:type="page"/>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INFORMACIÓN DEL CDM</w:t>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E06E11" w:rsidRPr="009B3A82" w:rsidTr="00BB3B69">
        <w:trPr>
          <w:trHeight w:val="350"/>
        </w:trPr>
        <w:tc>
          <w:tcPr>
            <w:tcW w:w="8644" w:type="dxa"/>
            <w:gridSpan w:val="2"/>
            <w:shd w:val="clear" w:color="auto" w:fill="CCCCCC"/>
          </w:tcPr>
          <w:p w:rsidR="00E06E11" w:rsidRPr="009B3A82" w:rsidRDefault="00E06E11" w:rsidP="00BB3B69">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Datos generales del CDM:</w:t>
            </w:r>
          </w:p>
        </w:tc>
      </w:tr>
      <w:tr w:rsidR="00E06E11" w:rsidRPr="009B3A82" w:rsidTr="00BB3B69">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Entidad: </w:t>
            </w:r>
          </w:p>
        </w:tc>
        <w:tc>
          <w:tcPr>
            <w:tcW w:w="4322" w:type="dxa"/>
            <w:shd w:val="clear" w:color="auto" w:fill="auto"/>
            <w:vAlign w:val="center"/>
          </w:tcPr>
          <w:p w:rsidR="00E06E11" w:rsidRPr="009B3A82" w:rsidRDefault="00E06E11" w:rsidP="00BB3B69">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Jalisco</w:t>
            </w:r>
          </w:p>
        </w:tc>
      </w:tr>
      <w:tr w:rsidR="00E06E11" w:rsidRPr="009B3A82" w:rsidTr="00BB3B69">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Nombre de la IMEF/ Municipio:</w:t>
            </w:r>
          </w:p>
        </w:tc>
        <w:tc>
          <w:tcPr>
            <w:tcW w:w="4322" w:type="dxa"/>
            <w:shd w:val="clear" w:color="auto" w:fill="auto"/>
            <w:vAlign w:val="center"/>
          </w:tcPr>
          <w:p w:rsidR="00E06E11" w:rsidRPr="009B3A82" w:rsidRDefault="00E06E11" w:rsidP="00BB3B69">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Instituto Jalisciense de las Mujeres/ Instancia Municipal de la Mujer de San Martín de Hidalgo.</w:t>
            </w:r>
          </w:p>
        </w:tc>
      </w:tr>
    </w:tbl>
    <w:p w:rsidR="00E06E11" w:rsidRPr="009B3A82" w:rsidRDefault="00E06E11" w:rsidP="00E06E11">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E06E11" w:rsidRPr="009B3A82" w:rsidTr="00BB3B69">
        <w:tc>
          <w:tcPr>
            <w:tcW w:w="8644" w:type="dxa"/>
            <w:gridSpan w:val="2"/>
            <w:shd w:val="clear" w:color="auto" w:fill="CCCCCC"/>
          </w:tcPr>
          <w:p w:rsidR="00E06E11" w:rsidRPr="009B3A82" w:rsidRDefault="00E06E11" w:rsidP="00BB3B69">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Información del Área Responsable:</w:t>
            </w:r>
          </w:p>
        </w:tc>
      </w:tr>
      <w:tr w:rsidR="00E06E11" w:rsidRPr="009B3A82" w:rsidTr="00BB3B69">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E06E11" w:rsidRPr="009B3A82" w:rsidRDefault="006055E9" w:rsidP="00BB3B69">
            <w:pPr>
              <w:spacing w:after="0" w:line="36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María Elena García Trujillo</w:t>
            </w:r>
          </w:p>
        </w:tc>
      </w:tr>
      <w:tr w:rsidR="00E06E11" w:rsidRPr="009B3A82" w:rsidTr="00BB3B69">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Lugar de realización:</w:t>
            </w:r>
          </w:p>
        </w:tc>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San Martín de Hidalgo</w:t>
            </w:r>
          </w:p>
        </w:tc>
      </w:tr>
      <w:tr w:rsidR="00E06E11" w:rsidRPr="009B3A82" w:rsidTr="00BB3B69">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Período de elaboración del informe:</w:t>
            </w:r>
          </w:p>
        </w:tc>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 2019</w:t>
            </w:r>
          </w:p>
        </w:tc>
      </w:tr>
      <w:tr w:rsidR="00E06E11" w:rsidRPr="009B3A82" w:rsidTr="00BB3B69">
        <w:tc>
          <w:tcPr>
            <w:tcW w:w="4322" w:type="dxa"/>
            <w:shd w:val="clear" w:color="auto" w:fill="auto"/>
          </w:tcPr>
          <w:p w:rsidR="00E06E11" w:rsidRPr="009B3A82" w:rsidRDefault="00E06E11" w:rsidP="00BB3B69">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Tipo de atención que se proporciona:</w:t>
            </w:r>
          </w:p>
        </w:tc>
        <w:tc>
          <w:tcPr>
            <w:tcW w:w="4322" w:type="dxa"/>
            <w:shd w:val="clear" w:color="auto" w:fill="auto"/>
          </w:tcPr>
          <w:p w:rsidR="00E06E11" w:rsidRPr="009B3A82" w:rsidRDefault="00E06E11" w:rsidP="00BB3B69">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Asesoría</w:t>
            </w:r>
          </w:p>
          <w:p w:rsidR="00E06E11" w:rsidRPr="009B3A82" w:rsidRDefault="00E06E11" w:rsidP="00BB3B69">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Capacitación</w:t>
            </w:r>
          </w:p>
        </w:tc>
      </w:tr>
    </w:tbl>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ANTECEDENTES </w:t>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El </w:t>
      </w:r>
      <w:r w:rsidRPr="009B3A82">
        <w:rPr>
          <w:rFonts w:ascii="Arial" w:eastAsia="Times New Roman" w:hAnsi="Arial" w:cs="Arial"/>
          <w:sz w:val="24"/>
          <w:szCs w:val="24"/>
          <w:lang w:val="es-ES" w:eastAsia="es-ES"/>
        </w:rPr>
        <w:t>Centro para el Desarrollo de las Mujeres</w:t>
      </w:r>
      <w:r w:rsidRPr="009B3A82">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E06E11" w:rsidRPr="009B3A82" w:rsidRDefault="00E06E11" w:rsidP="00E06E11">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9B3A82">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E06E11" w:rsidRPr="009B3A82" w:rsidRDefault="00E06E11" w:rsidP="00E06E11">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INTRODUCCIÓN</w:t>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9B3A82">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lastRenderedPageBreak/>
        <w:t xml:space="preserve">En la encuesta realizada por </w:t>
      </w:r>
      <w:r w:rsidRPr="009B3A82">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E06E11" w:rsidRPr="009B3A82" w:rsidRDefault="00E06E11" w:rsidP="00E06E11">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INFORME DE LA OPERACIÓN DEL CDM</w:t>
      </w:r>
    </w:p>
    <w:p w:rsidR="00E06E11" w:rsidRPr="009B3A82" w:rsidRDefault="00E06E11" w:rsidP="00E06E11">
      <w:pPr>
        <w:tabs>
          <w:tab w:val="left" w:pos="0"/>
        </w:tabs>
        <w:spacing w:after="0" w:line="360" w:lineRule="auto"/>
        <w:jc w:val="both"/>
        <w:rPr>
          <w:rFonts w:ascii="Arial" w:eastAsia="Times New Roman" w:hAnsi="Arial" w:cs="Arial"/>
          <w:b/>
          <w:sz w:val="24"/>
          <w:szCs w:val="24"/>
          <w:lang w:val="es-ES" w:eastAsia="es-ES"/>
        </w:rPr>
      </w:pPr>
    </w:p>
    <w:p w:rsidR="00E06E11" w:rsidRPr="009B3A82" w:rsidRDefault="00E06E11" w:rsidP="00E06E11">
      <w:pPr>
        <w:shd w:val="clear" w:color="auto" w:fill="FFFFFF"/>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w:t>
      </w:r>
      <w:r>
        <w:rPr>
          <w:rFonts w:ascii="Arial" w:eastAsia="Times New Roman" w:hAnsi="Arial" w:cs="Arial"/>
          <w:sz w:val="24"/>
          <w:szCs w:val="24"/>
          <w:lang w:val="es-ES" w:eastAsia="es-ES"/>
        </w:rPr>
        <w:t>brindados por la profesionista</w:t>
      </w:r>
      <w:r w:rsidRPr="009B3A82">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en derecho </w:t>
      </w:r>
      <w:r w:rsidRPr="009B3A82">
        <w:rPr>
          <w:rFonts w:ascii="Arial" w:eastAsia="Times New Roman" w:hAnsi="Arial" w:cs="Arial"/>
          <w:sz w:val="24"/>
          <w:szCs w:val="24"/>
          <w:lang w:val="es-ES" w:eastAsia="es-ES"/>
        </w:rPr>
        <w:t>del Centro para el Desarrollo de las Mujeres (CDM) de San Martin</w:t>
      </w:r>
      <w:r>
        <w:rPr>
          <w:rFonts w:ascii="Arial" w:eastAsia="Times New Roman" w:hAnsi="Arial" w:cs="Arial"/>
          <w:sz w:val="24"/>
          <w:szCs w:val="24"/>
          <w:lang w:val="es-ES" w:eastAsia="es-ES"/>
        </w:rPr>
        <w:t xml:space="preserve"> de Hidalgo en el mes de enero del año 2019</w:t>
      </w:r>
      <w:r w:rsidRPr="009B3A82">
        <w:rPr>
          <w:rFonts w:ascii="Arial" w:eastAsia="Times New Roman" w:hAnsi="Arial" w:cs="Arial"/>
          <w:sz w:val="24"/>
          <w:szCs w:val="24"/>
          <w:lang w:val="es-ES" w:eastAsia="es-ES"/>
        </w:rPr>
        <w:t>.</w:t>
      </w:r>
    </w:p>
    <w:p w:rsidR="00E06E11" w:rsidRPr="009B3A82" w:rsidRDefault="00E06E11" w:rsidP="00E06E11">
      <w:pPr>
        <w:shd w:val="clear" w:color="auto" w:fill="FFFFFF"/>
        <w:spacing w:after="324" w:line="360" w:lineRule="auto"/>
        <w:jc w:val="both"/>
        <w:rPr>
          <w:rFonts w:ascii="Arial" w:eastAsia="Times New Roman" w:hAnsi="Arial" w:cs="Arial"/>
          <w:b/>
          <w:i/>
          <w:sz w:val="24"/>
          <w:szCs w:val="24"/>
          <w:lang w:val="es-ES" w:eastAsia="es-ES"/>
        </w:rPr>
      </w:pPr>
      <w:r w:rsidRPr="009B3A82">
        <w:rPr>
          <w:rFonts w:ascii="Arial" w:eastAsia="Times New Roman" w:hAnsi="Arial" w:cs="Arial"/>
          <w:b/>
          <w:i/>
          <w:sz w:val="24"/>
          <w:szCs w:val="24"/>
          <w:lang w:val="es-ES" w:eastAsia="es-ES"/>
        </w:rPr>
        <w:t>INFORME CUALITATIVO</w:t>
      </w:r>
    </w:p>
    <w:p w:rsidR="00E06E11" w:rsidRDefault="00E06E11" w:rsidP="00E06E11">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 De acuerdo a lo concerniente al mes de enero del año en curso, la profesionista en derecho llevo a cabo la impartición de talleres a población abierta, específicamente a mujeres beneficiarias del programa “prospera”, otorgándoles el tema de” Prevención de violencia en contra de las mujeres, niñas y niños”,</w:t>
      </w:r>
      <w:r w:rsidR="00B00225">
        <w:rPr>
          <w:rFonts w:ascii="Arial" w:eastAsia="Times New Roman" w:hAnsi="Arial" w:cs="Arial"/>
          <w:sz w:val="24"/>
          <w:szCs w:val="24"/>
          <w:lang w:val="es-ES" w:eastAsia="es-ES"/>
        </w:rPr>
        <w:t xml:space="preserve"> impartidos en las instalaciones que ocupa el centro de salud del municipio de San Martin de Hidalgo,</w:t>
      </w:r>
      <w:r>
        <w:rPr>
          <w:rFonts w:ascii="Arial" w:eastAsia="Times New Roman" w:hAnsi="Arial" w:cs="Arial"/>
          <w:sz w:val="24"/>
          <w:szCs w:val="24"/>
          <w:lang w:val="es-ES" w:eastAsia="es-ES"/>
        </w:rPr>
        <w:t xml:space="preserve"> en la cual todas las mujeres asistentes fueron participativas y externaban dudas relacionadas al mismo.</w:t>
      </w:r>
    </w:p>
    <w:p w:rsidR="00E06E11" w:rsidRDefault="00E06E11" w:rsidP="00E06E11">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En el transcurso del citado mes, se </w:t>
      </w:r>
      <w:r w:rsidR="00B00225">
        <w:rPr>
          <w:rFonts w:ascii="Arial" w:eastAsia="Times New Roman" w:hAnsi="Arial" w:cs="Arial"/>
          <w:sz w:val="24"/>
          <w:szCs w:val="24"/>
          <w:lang w:val="es-ES" w:eastAsia="es-ES"/>
        </w:rPr>
        <w:t xml:space="preserve">prosiguió con la planeación del cronograma de actividades previamente elaborado el mes pasado, en el cual se dio a la tarea de investigar los programas y apoyos gubernamentales que podrían ser beneficiosos para las mujeres, tanto en el ámbito municipal como en el </w:t>
      </w:r>
      <w:r w:rsidR="00B00225">
        <w:rPr>
          <w:rFonts w:ascii="Arial" w:eastAsia="Times New Roman" w:hAnsi="Arial" w:cs="Arial"/>
          <w:sz w:val="24"/>
          <w:szCs w:val="24"/>
          <w:lang w:val="es-ES" w:eastAsia="es-ES"/>
        </w:rPr>
        <w:lastRenderedPageBreak/>
        <w:t>estatal. Ya que se obtuvo la información correcta se procedió a elaborar un catálogo de programas y servicios en el cual se marcaban, los programas que estarían vigentes, requisitos y duración de los mismos. Así como la infraestructura de cada polígono que abraca el municipio, para así tener una base sobre las necesidades que afectan a la población, especialmente a las mujeres sanmartinenses.</w:t>
      </w:r>
    </w:p>
    <w:p w:rsidR="00E06E11" w:rsidRDefault="00B00225" w:rsidP="00E06E11">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132C26">
        <w:rPr>
          <w:rFonts w:ascii="Arial" w:eastAsia="Times New Roman" w:hAnsi="Arial" w:cs="Arial"/>
          <w:sz w:val="24"/>
          <w:szCs w:val="24"/>
          <w:lang w:val="es-ES" w:eastAsia="es-ES"/>
        </w:rPr>
        <w:t xml:space="preserve">Cabe destacar que debido a las festividades decembrinas no se pudo concretar varias etapas contempladas en el  modelo de operación, ya que diversas de las oficinas del H. Ayuntamiento de San Martin de Hidalgo habían cesado actividades debido a las vacaciones, por lo cual retraso al seguimiento de los procesos sustantivos del modelo. </w:t>
      </w:r>
    </w:p>
    <w:p w:rsidR="00E06E11" w:rsidRPr="005C7E74" w:rsidRDefault="00132C26" w:rsidP="00E06E11">
      <w:pPr>
        <w:spacing w:after="0" w:line="360" w:lineRule="auto"/>
        <w:ind w:firstLine="708"/>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Durante el mes de enero del año en curso,</w:t>
      </w:r>
      <w:r w:rsidR="00E06E11" w:rsidRPr="005C7E74">
        <w:rPr>
          <w:rFonts w:ascii="Arial" w:eastAsia="Times New Roman" w:hAnsi="Arial" w:cs="Arial"/>
          <w:color w:val="000000" w:themeColor="text1"/>
          <w:sz w:val="24"/>
          <w:szCs w:val="24"/>
          <w:lang w:val="es-ES" w:eastAsia="es-ES"/>
        </w:rPr>
        <w:t xml:space="preserve"> el área jurídica continuó otorgando asesorías a las y los usuarios sanmartinenses, de las cuales se obtuvieron un total de </w:t>
      </w:r>
      <w:r>
        <w:rPr>
          <w:rFonts w:ascii="Arial" w:eastAsia="Times New Roman" w:hAnsi="Arial" w:cs="Arial"/>
          <w:color w:val="000000" w:themeColor="text1"/>
          <w:sz w:val="24"/>
          <w:szCs w:val="24"/>
          <w:lang w:val="es-ES" w:eastAsia="es-ES"/>
        </w:rPr>
        <w:t>7</w:t>
      </w:r>
      <w:r w:rsidR="00E06E11" w:rsidRPr="005C7E74">
        <w:rPr>
          <w:rFonts w:ascii="Arial" w:eastAsia="Times New Roman" w:hAnsi="Arial" w:cs="Arial"/>
          <w:color w:val="000000" w:themeColor="text1"/>
          <w:sz w:val="24"/>
          <w:szCs w:val="24"/>
          <w:lang w:val="es-ES" w:eastAsia="es-ES"/>
        </w:rPr>
        <w:t xml:space="preserve"> asesorías de </w:t>
      </w:r>
      <w:r>
        <w:rPr>
          <w:rFonts w:ascii="Arial" w:eastAsia="Times New Roman" w:hAnsi="Arial" w:cs="Arial"/>
          <w:color w:val="000000" w:themeColor="text1"/>
          <w:sz w:val="24"/>
          <w:szCs w:val="24"/>
          <w:lang w:val="es-ES" w:eastAsia="es-ES"/>
        </w:rPr>
        <w:t>nuevo ingreso a mujeres del municipio</w:t>
      </w:r>
      <w:r w:rsidR="00E06E11" w:rsidRPr="005C7E74">
        <w:rPr>
          <w:rFonts w:ascii="Arial" w:eastAsia="Times New Roman" w:hAnsi="Arial" w:cs="Arial"/>
          <w:color w:val="000000" w:themeColor="text1"/>
          <w:sz w:val="24"/>
          <w:szCs w:val="24"/>
          <w:lang w:val="es-ES" w:eastAsia="es-ES"/>
        </w:rPr>
        <w:t>. Cabe mencionar que</w:t>
      </w:r>
      <w:r w:rsidR="00E06E11">
        <w:rPr>
          <w:rFonts w:ascii="Arial" w:eastAsia="Times New Roman" w:hAnsi="Arial" w:cs="Arial"/>
          <w:color w:val="000000" w:themeColor="text1"/>
          <w:sz w:val="24"/>
          <w:szCs w:val="24"/>
          <w:lang w:val="es-ES" w:eastAsia="es-ES"/>
        </w:rPr>
        <w:t xml:space="preserve"> durante el mes de </w:t>
      </w:r>
      <w:r>
        <w:rPr>
          <w:rFonts w:ascii="Arial" w:eastAsia="Times New Roman" w:hAnsi="Arial" w:cs="Arial"/>
          <w:color w:val="000000" w:themeColor="text1"/>
          <w:sz w:val="24"/>
          <w:szCs w:val="24"/>
          <w:lang w:val="es-ES" w:eastAsia="es-ES"/>
        </w:rPr>
        <w:t>enero del presente año, ha sido el mes con más recurrencia en casos de violencia y problemas conyugales.</w:t>
      </w:r>
    </w:p>
    <w:p w:rsidR="00E06E11" w:rsidRDefault="00E06E11" w:rsidP="00E06E11">
      <w:pPr>
        <w:spacing w:after="0" w:line="276" w:lineRule="auto"/>
        <w:jc w:val="both"/>
        <w:textAlignment w:val="baseline"/>
        <w:rPr>
          <w:rFonts w:ascii="Arial" w:eastAsia="Times New Roman" w:hAnsi="Arial" w:cs="Arial"/>
          <w:b/>
          <w:bCs/>
          <w:color w:val="000000"/>
          <w:sz w:val="24"/>
          <w:szCs w:val="24"/>
          <w:lang w:val="es-ES" w:eastAsia="es-MX"/>
        </w:rPr>
      </w:pPr>
    </w:p>
    <w:p w:rsidR="00E06E11" w:rsidRDefault="00E06E11" w:rsidP="00E06E11">
      <w:pPr>
        <w:shd w:val="clear" w:color="auto" w:fill="FFFFFF"/>
        <w:spacing w:after="324" w:line="360" w:lineRule="auto"/>
        <w:jc w:val="both"/>
        <w:rPr>
          <w:rFonts w:ascii="Arial" w:eastAsia="Times New Roman" w:hAnsi="Arial" w:cs="Arial"/>
          <w:b/>
          <w:i/>
          <w:sz w:val="24"/>
          <w:szCs w:val="24"/>
          <w:lang w:val="es-ES" w:eastAsia="es-ES"/>
        </w:rPr>
      </w:pPr>
    </w:p>
    <w:p w:rsidR="00E06E11" w:rsidRPr="00B56613" w:rsidRDefault="00E06E11" w:rsidP="00E06E11">
      <w:pPr>
        <w:shd w:val="clear" w:color="auto" w:fill="FFFFFF"/>
        <w:spacing w:after="324" w:line="360" w:lineRule="auto"/>
        <w:jc w:val="both"/>
        <w:rPr>
          <w:rFonts w:ascii="Arial" w:eastAsia="Times New Roman" w:hAnsi="Arial" w:cs="Arial"/>
          <w:b/>
          <w:i/>
          <w:sz w:val="24"/>
          <w:szCs w:val="24"/>
          <w:lang w:val="es-ES" w:eastAsia="es-ES"/>
        </w:rPr>
      </w:pPr>
      <w:r w:rsidRPr="00B56613">
        <w:rPr>
          <w:rFonts w:ascii="Arial" w:eastAsia="Times New Roman" w:hAnsi="Arial" w:cs="Arial"/>
          <w:b/>
          <w:i/>
          <w:sz w:val="24"/>
          <w:szCs w:val="24"/>
          <w:lang w:val="es-ES" w:eastAsia="es-ES"/>
        </w:rPr>
        <w:t>INFORME CUANTITATIVO</w:t>
      </w:r>
    </w:p>
    <w:p w:rsidR="00E06E11" w:rsidRPr="00B56613" w:rsidRDefault="00E06E11" w:rsidP="00E06E11">
      <w:pPr>
        <w:shd w:val="clear" w:color="auto" w:fill="FFFFFF"/>
        <w:spacing w:after="324" w:line="360" w:lineRule="auto"/>
        <w:jc w:val="both"/>
        <w:rPr>
          <w:rFonts w:ascii="Arial" w:eastAsia="Times New Roman" w:hAnsi="Arial" w:cs="Arial"/>
          <w:sz w:val="24"/>
          <w:szCs w:val="24"/>
          <w:lang w:val="es-ES" w:eastAsia="es-ES"/>
        </w:rPr>
      </w:pPr>
      <w:r w:rsidRPr="00B56613">
        <w:rPr>
          <w:rFonts w:ascii="Arial" w:eastAsia="Times New Roman" w:hAnsi="Arial" w:cs="Arial"/>
          <w:sz w:val="24"/>
          <w:szCs w:val="24"/>
          <w:lang w:val="es-ES" w:eastAsia="es-ES"/>
        </w:rPr>
        <w:t>ASESORÍAS:</w:t>
      </w:r>
    </w:p>
    <w:p w:rsidR="00E06E11" w:rsidRPr="00B56613" w:rsidRDefault="00E06E11" w:rsidP="00E06E11">
      <w:pPr>
        <w:tabs>
          <w:tab w:val="left" w:pos="0"/>
        </w:tabs>
        <w:spacing w:after="0" w:line="360" w:lineRule="auto"/>
        <w:jc w:val="both"/>
        <w:rPr>
          <w:rFonts w:ascii="Arial" w:eastAsia="Times New Roman" w:hAnsi="Arial" w:cs="Arial"/>
          <w:sz w:val="24"/>
          <w:szCs w:val="24"/>
          <w:lang w:val="es-ES" w:eastAsia="es-ES"/>
        </w:rPr>
      </w:pP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lastRenderedPageBreak/>
        <w:drawing>
          <wp:inline distT="0" distB="0" distL="0" distR="0" wp14:anchorId="19904C03" wp14:editId="4FC0CE41">
            <wp:extent cx="5524500" cy="3228975"/>
            <wp:effectExtent l="0" t="0" r="0" b="0"/>
            <wp:docPr id="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r w:rsidRPr="00676074">
        <w:rPr>
          <w:rFonts w:ascii="Arial" w:eastAsia="Times New Roman" w:hAnsi="Arial" w:cs="Arial"/>
          <w:i/>
          <w:szCs w:val="24"/>
          <w:lang w:val="es-ES" w:eastAsia="es-ES"/>
        </w:rPr>
        <w:t>Est</w:t>
      </w:r>
      <w:r>
        <w:rPr>
          <w:rFonts w:ascii="Arial" w:eastAsia="Times New Roman" w:hAnsi="Arial" w:cs="Arial"/>
          <w:i/>
          <w:szCs w:val="24"/>
          <w:lang w:val="es-ES" w:eastAsia="es-ES"/>
        </w:rPr>
        <w:t xml:space="preserve">á </w:t>
      </w:r>
      <w:r w:rsidRPr="00676074">
        <w:rPr>
          <w:rFonts w:ascii="Arial" w:eastAsia="Times New Roman" w:hAnsi="Arial" w:cs="Arial"/>
          <w:i/>
          <w:szCs w:val="24"/>
          <w:lang w:val="es-ES" w:eastAsia="es-ES"/>
        </w:rPr>
        <w:t>grafica muestra las asesorías brindadas por el área</w:t>
      </w:r>
      <w:r w:rsidR="00132C26">
        <w:rPr>
          <w:rFonts w:ascii="Arial" w:eastAsia="Times New Roman" w:hAnsi="Arial" w:cs="Arial"/>
          <w:i/>
          <w:szCs w:val="24"/>
          <w:lang w:val="es-ES" w:eastAsia="es-ES"/>
        </w:rPr>
        <w:t xml:space="preserve"> jurídica en el mes de enero</w:t>
      </w:r>
      <w:r w:rsidRPr="00676074">
        <w:rPr>
          <w:rFonts w:ascii="Arial" w:eastAsia="Times New Roman" w:hAnsi="Arial" w:cs="Arial"/>
          <w:i/>
          <w:szCs w:val="24"/>
          <w:lang w:val="es-ES" w:eastAsia="es-ES"/>
        </w:rPr>
        <w:t>.</w:t>
      </w:r>
    </w:p>
    <w:p w:rsidR="00E06E11" w:rsidRPr="00B56613" w:rsidRDefault="00E06E11" w:rsidP="00E06E11">
      <w:pPr>
        <w:tabs>
          <w:tab w:val="left" w:pos="0"/>
        </w:tabs>
        <w:spacing w:after="0" w:line="360" w:lineRule="auto"/>
        <w:jc w:val="both"/>
        <w:rPr>
          <w:rFonts w:ascii="Arial" w:eastAsia="Times New Roman" w:hAnsi="Arial" w:cs="Arial"/>
          <w:sz w:val="24"/>
          <w:szCs w:val="24"/>
          <w:lang w:val="es-ES" w:eastAsia="es-ES"/>
        </w:rPr>
      </w:pP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drawing>
          <wp:inline distT="0" distB="0" distL="0" distR="0" wp14:anchorId="32B5722D" wp14:editId="75E9E4A9">
            <wp:extent cx="5514975" cy="3228975"/>
            <wp:effectExtent l="0" t="0" r="9525" b="9525"/>
            <wp:docPr id="10"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6E11" w:rsidRDefault="00E06E11" w:rsidP="00E06E11">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 xml:space="preserve">En la presente gráfica muestra la edad que mencionaron tener las personas que acudieron al servicio jurídico del CDM. </w:t>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lastRenderedPageBreak/>
        <w:drawing>
          <wp:inline distT="0" distB="0" distL="0" distR="0" wp14:anchorId="28F63011" wp14:editId="079EBBA5">
            <wp:extent cx="5495925" cy="3209925"/>
            <wp:effectExtent l="0" t="0" r="9525" b="9525"/>
            <wp:docPr id="9"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Dicha gráfic</w:t>
      </w:r>
      <w:r w:rsidR="007C5EA7">
        <w:rPr>
          <w:rFonts w:ascii="Arial" w:eastAsia="Times New Roman" w:hAnsi="Arial" w:cs="Arial"/>
          <w:i/>
          <w:szCs w:val="24"/>
          <w:lang w:val="es-ES" w:eastAsia="es-ES"/>
        </w:rPr>
        <w:t>a denota la procedencia de las usuaria</w:t>
      </w:r>
      <w:r w:rsidRPr="000D6DB6">
        <w:rPr>
          <w:rFonts w:ascii="Arial" w:eastAsia="Times New Roman" w:hAnsi="Arial" w:cs="Arial"/>
          <w:i/>
          <w:szCs w:val="24"/>
          <w:lang w:val="es-ES" w:eastAsia="es-ES"/>
        </w:rPr>
        <w:t>s que acudieron al CDM.</w:t>
      </w: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drawing>
          <wp:inline distT="0" distB="0" distL="0" distR="0" wp14:anchorId="6F9156A5" wp14:editId="35B5F081">
            <wp:extent cx="5495925" cy="3209925"/>
            <wp:effectExtent l="0" t="0" r="9525" b="9525"/>
            <wp:docPr id="8"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6E11" w:rsidRDefault="00E06E11" w:rsidP="00E06E11">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 xml:space="preserve">La presente muestra el grado de estudios que las personas expresaron tener en sus hojas de atención. </w:t>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lastRenderedPageBreak/>
        <w:drawing>
          <wp:inline distT="0" distB="0" distL="0" distR="0" wp14:anchorId="1FD84262" wp14:editId="467761F3">
            <wp:extent cx="5495925" cy="3209925"/>
            <wp:effectExtent l="0" t="0" r="9525" b="9525"/>
            <wp:docPr id="7"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Dicha gráfica pauta la ocupación</w:t>
      </w:r>
      <w:r w:rsidR="00CA4A37">
        <w:rPr>
          <w:rFonts w:ascii="Arial" w:eastAsia="Times New Roman" w:hAnsi="Arial" w:cs="Arial"/>
          <w:i/>
          <w:szCs w:val="24"/>
          <w:lang w:val="es-ES" w:eastAsia="es-ES"/>
        </w:rPr>
        <w:t xml:space="preserve"> que refirieron tener las usuaria</w:t>
      </w:r>
      <w:r w:rsidRPr="000D6DB6">
        <w:rPr>
          <w:rFonts w:ascii="Arial" w:eastAsia="Times New Roman" w:hAnsi="Arial" w:cs="Arial"/>
          <w:i/>
          <w:szCs w:val="24"/>
          <w:lang w:val="es-ES" w:eastAsia="es-ES"/>
        </w:rPr>
        <w:t>s.</w:t>
      </w: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drawing>
          <wp:inline distT="0" distB="0" distL="0" distR="0" wp14:anchorId="6CF57187" wp14:editId="1F114879">
            <wp:extent cx="5495925" cy="3209925"/>
            <wp:effectExtent l="0" t="0" r="9525" b="9525"/>
            <wp:docPr id="6"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En esta grafica indica el estado civil de las personas usuarias del servicio jurídico del CDM.</w:t>
      </w:r>
    </w:p>
    <w:p w:rsidR="00E06E11" w:rsidRPr="00B56613" w:rsidRDefault="00E06E11" w:rsidP="00E06E11">
      <w:pPr>
        <w:spacing w:after="0" w:line="240" w:lineRule="auto"/>
        <w:rPr>
          <w:rFonts w:ascii="Arial" w:eastAsia="Times New Roman" w:hAnsi="Arial" w:cs="Arial"/>
          <w:sz w:val="24"/>
          <w:szCs w:val="24"/>
          <w:lang w:val="es-ES" w:eastAsia="es-ES"/>
        </w:rPr>
      </w:pPr>
      <w:r w:rsidRPr="00B56613">
        <w:rPr>
          <w:rFonts w:ascii="Arial" w:eastAsia="Times New Roman" w:hAnsi="Arial" w:cs="Arial"/>
          <w:sz w:val="24"/>
          <w:szCs w:val="24"/>
          <w:lang w:val="es-ES" w:eastAsia="es-ES"/>
        </w:rPr>
        <w:br w:type="page"/>
      </w:r>
    </w:p>
    <w:p w:rsidR="00E06E11" w:rsidRPr="00B56613" w:rsidRDefault="00E06E11" w:rsidP="00E06E11">
      <w:pPr>
        <w:tabs>
          <w:tab w:val="left" w:pos="0"/>
        </w:tabs>
        <w:spacing w:after="0" w:line="360" w:lineRule="auto"/>
        <w:jc w:val="both"/>
        <w:rPr>
          <w:rFonts w:ascii="Arial" w:eastAsia="Times New Roman" w:hAnsi="Arial" w:cs="Arial"/>
          <w:sz w:val="24"/>
          <w:szCs w:val="24"/>
          <w:lang w:val="es-ES" w:eastAsia="es-ES"/>
        </w:rPr>
      </w:pPr>
    </w:p>
    <w:p w:rsidR="00E06E11" w:rsidRDefault="00E06E11" w:rsidP="00E06E11">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drawing>
          <wp:inline distT="0" distB="0" distL="0" distR="0" wp14:anchorId="75160A51" wp14:editId="6996C6C0">
            <wp:extent cx="5514975" cy="3228975"/>
            <wp:effectExtent l="0" t="0" r="9525" b="9525"/>
            <wp:docPr id="5"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06E11" w:rsidRDefault="00E06E11" w:rsidP="00E06E11">
      <w:pPr>
        <w:tabs>
          <w:tab w:val="left" w:pos="0"/>
        </w:tabs>
        <w:spacing w:after="0" w:line="360" w:lineRule="auto"/>
        <w:jc w:val="both"/>
        <w:rPr>
          <w:rFonts w:ascii="Arial" w:eastAsia="Times New Roman" w:hAnsi="Arial" w:cs="Arial"/>
          <w:i/>
          <w:szCs w:val="24"/>
          <w:lang w:val="es-ES" w:eastAsia="es-ES"/>
        </w:rPr>
      </w:pPr>
      <w:r w:rsidRPr="00CD4DA8">
        <w:rPr>
          <w:rFonts w:ascii="Arial" w:eastAsia="Times New Roman" w:hAnsi="Arial" w:cs="Arial"/>
          <w:i/>
          <w:szCs w:val="24"/>
          <w:lang w:val="es-ES" w:eastAsia="es-ES"/>
        </w:rPr>
        <w:t>Dicha grafica denota el tipo de violencia que indicaron tener la</w:t>
      </w:r>
      <w:r w:rsidR="001A3ED1">
        <w:rPr>
          <w:rFonts w:ascii="Arial" w:eastAsia="Times New Roman" w:hAnsi="Arial" w:cs="Arial"/>
          <w:i/>
          <w:szCs w:val="24"/>
          <w:lang w:val="es-ES" w:eastAsia="es-ES"/>
        </w:rPr>
        <w:t xml:space="preserve">s usuarias </w:t>
      </w:r>
      <w:r w:rsidRPr="00CD4DA8">
        <w:rPr>
          <w:rFonts w:ascii="Arial" w:eastAsia="Times New Roman" w:hAnsi="Arial" w:cs="Arial"/>
          <w:i/>
          <w:szCs w:val="24"/>
          <w:lang w:val="es-ES" w:eastAsia="es-ES"/>
        </w:rPr>
        <w:t>que acudieron al CDM.</w:t>
      </w:r>
    </w:p>
    <w:p w:rsidR="00E06E11" w:rsidRPr="00B56613" w:rsidRDefault="00E06E11" w:rsidP="00E06E11">
      <w:pPr>
        <w:tabs>
          <w:tab w:val="left" w:pos="0"/>
        </w:tabs>
        <w:spacing w:after="0" w:line="360" w:lineRule="auto"/>
        <w:jc w:val="both"/>
        <w:rPr>
          <w:rFonts w:ascii="Arial" w:eastAsia="Times New Roman" w:hAnsi="Arial" w:cs="Arial"/>
          <w:i/>
          <w:szCs w:val="24"/>
          <w:lang w:val="es-ES" w:eastAsia="es-ES"/>
        </w:rPr>
      </w:pPr>
    </w:p>
    <w:p w:rsidR="00E06E11" w:rsidRPr="00B56613" w:rsidRDefault="00E06E11" w:rsidP="00E06E11">
      <w:pPr>
        <w:shd w:val="clear" w:color="auto" w:fill="FFFFFF"/>
        <w:spacing w:after="324"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val="es-ES" w:eastAsia="es-ES"/>
        </w:rPr>
        <w:drawing>
          <wp:inline distT="0" distB="0" distL="0" distR="0" wp14:anchorId="5853A15E" wp14:editId="1B628963">
            <wp:extent cx="5534025" cy="3228975"/>
            <wp:effectExtent l="0" t="0" r="9525" b="9525"/>
            <wp:docPr id="1"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CD4DA8">
        <w:rPr>
          <w:rFonts w:ascii="Arial" w:eastAsia="Times New Roman" w:hAnsi="Arial" w:cs="Arial"/>
          <w:i/>
          <w:szCs w:val="24"/>
          <w:lang w:val="es-ES" w:eastAsia="es-ES"/>
        </w:rPr>
        <w:t>La presente grafica indica la modalidad en que fueron víct</w:t>
      </w:r>
      <w:r w:rsidR="001A3ED1">
        <w:rPr>
          <w:rFonts w:ascii="Arial" w:eastAsia="Times New Roman" w:hAnsi="Arial" w:cs="Arial"/>
          <w:i/>
          <w:szCs w:val="24"/>
          <w:lang w:val="es-ES" w:eastAsia="es-ES"/>
        </w:rPr>
        <w:t>imas las usuarias</w:t>
      </w:r>
      <w:r w:rsidRPr="00CD4DA8">
        <w:rPr>
          <w:rFonts w:ascii="Arial" w:eastAsia="Times New Roman" w:hAnsi="Arial" w:cs="Arial"/>
          <w:i/>
          <w:szCs w:val="24"/>
          <w:lang w:val="es-ES" w:eastAsia="es-ES"/>
        </w:rPr>
        <w:t xml:space="preserve"> que acudieron al CDM a </w:t>
      </w:r>
      <w:r>
        <w:rPr>
          <w:rFonts w:ascii="Arial" w:eastAsia="Times New Roman" w:hAnsi="Arial" w:cs="Arial"/>
          <w:i/>
          <w:szCs w:val="24"/>
          <w:lang w:val="es-ES" w:eastAsia="es-ES"/>
        </w:rPr>
        <w:t xml:space="preserve">recibir </w:t>
      </w:r>
      <w:r w:rsidRPr="00CD4DA8">
        <w:rPr>
          <w:rFonts w:ascii="Arial" w:eastAsia="Times New Roman" w:hAnsi="Arial" w:cs="Arial"/>
          <w:i/>
          <w:szCs w:val="24"/>
          <w:lang w:val="es-ES" w:eastAsia="es-ES"/>
        </w:rPr>
        <w:t xml:space="preserve">asesoría jurídica.  </w:t>
      </w:r>
    </w:p>
    <w:p w:rsidR="00E06E11" w:rsidRDefault="00E06E11" w:rsidP="00E06E11">
      <w:pPr>
        <w:spacing w:after="0" w:line="240" w:lineRule="auto"/>
        <w:rPr>
          <w:rFonts w:ascii="Arial" w:eastAsia="Times New Roman" w:hAnsi="Arial" w:cs="Arial"/>
          <w:b/>
          <w:i/>
          <w:sz w:val="24"/>
          <w:szCs w:val="24"/>
          <w:lang w:val="es-ES" w:eastAsia="es-ES"/>
        </w:rPr>
      </w:pPr>
      <w:r w:rsidRPr="00B56613">
        <w:rPr>
          <w:rFonts w:ascii="Arial" w:eastAsia="Times New Roman" w:hAnsi="Arial" w:cs="Arial"/>
          <w:noProof/>
          <w:sz w:val="20"/>
          <w:szCs w:val="24"/>
          <w:lang w:val="es-ES" w:eastAsia="es-ES"/>
        </w:rPr>
        <w:lastRenderedPageBreak/>
        <w:drawing>
          <wp:inline distT="0" distB="0" distL="0" distR="0" wp14:anchorId="2E3D6692" wp14:editId="0494AD15">
            <wp:extent cx="5514975" cy="6362700"/>
            <wp:effectExtent l="0" t="0" r="9525" b="0"/>
            <wp:docPr id="2"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06E11" w:rsidRPr="00B56613" w:rsidRDefault="00E06E11" w:rsidP="00E06E11">
      <w:pPr>
        <w:spacing w:after="0" w:line="240" w:lineRule="auto"/>
        <w:rPr>
          <w:rFonts w:ascii="Arial" w:eastAsia="Times New Roman" w:hAnsi="Arial" w:cs="Arial"/>
          <w:i/>
          <w:szCs w:val="24"/>
          <w:lang w:val="es-ES" w:eastAsia="es-ES"/>
        </w:rPr>
      </w:pPr>
      <w:r w:rsidRPr="005233B3">
        <w:rPr>
          <w:rFonts w:ascii="Arial" w:eastAsia="Times New Roman" w:hAnsi="Arial" w:cs="Arial"/>
          <w:i/>
          <w:szCs w:val="24"/>
          <w:lang w:val="es-ES" w:eastAsia="es-ES"/>
        </w:rPr>
        <w:t>La presente grafica indica el lugar donde fueron canalizadas la</w:t>
      </w:r>
      <w:r w:rsidR="001A3ED1">
        <w:rPr>
          <w:rFonts w:ascii="Arial" w:eastAsia="Times New Roman" w:hAnsi="Arial" w:cs="Arial"/>
          <w:i/>
          <w:szCs w:val="24"/>
          <w:lang w:val="es-ES" w:eastAsia="es-ES"/>
        </w:rPr>
        <w:t>s usuarias para la solución a sus problemáticas</w:t>
      </w:r>
      <w:proofErr w:type="gramStart"/>
      <w:r w:rsidR="001A3ED1">
        <w:rPr>
          <w:rFonts w:ascii="Arial" w:eastAsia="Times New Roman" w:hAnsi="Arial" w:cs="Arial"/>
          <w:i/>
          <w:szCs w:val="24"/>
          <w:lang w:val="es-ES" w:eastAsia="es-ES"/>
        </w:rPr>
        <w:t>.</w:t>
      </w:r>
      <w:r w:rsidRPr="005233B3">
        <w:rPr>
          <w:rFonts w:ascii="Arial" w:eastAsia="Times New Roman" w:hAnsi="Arial" w:cs="Arial"/>
          <w:i/>
          <w:szCs w:val="24"/>
          <w:lang w:val="es-ES" w:eastAsia="es-ES"/>
        </w:rPr>
        <w:t>.</w:t>
      </w:r>
      <w:proofErr w:type="gramEnd"/>
    </w:p>
    <w:p w:rsidR="00E06E11" w:rsidRDefault="00E06E11" w:rsidP="00E06E11">
      <w:pPr>
        <w:spacing w:after="0" w:line="276" w:lineRule="auto"/>
        <w:jc w:val="both"/>
        <w:textAlignment w:val="baseline"/>
        <w:rPr>
          <w:rFonts w:ascii="Arial" w:eastAsia="Times New Roman" w:hAnsi="Arial" w:cs="Arial"/>
          <w:b/>
          <w:bCs/>
          <w:color w:val="000000"/>
          <w:sz w:val="24"/>
          <w:szCs w:val="24"/>
          <w:lang w:val="es-ES" w:eastAsia="es-MX"/>
        </w:rPr>
      </w:pPr>
      <w:r w:rsidRPr="00B56613">
        <w:rPr>
          <w:rFonts w:ascii="Arial" w:eastAsia="Times New Roman" w:hAnsi="Arial" w:cs="Arial"/>
          <w:b/>
          <w:bCs/>
          <w:color w:val="000000"/>
          <w:sz w:val="24"/>
          <w:szCs w:val="24"/>
          <w:lang w:val="es-ES" w:eastAsia="es-MX"/>
        </w:rPr>
        <w:br w:type="page"/>
      </w:r>
    </w:p>
    <w:p w:rsidR="00E06E11" w:rsidRPr="009B3A82" w:rsidRDefault="00E06E11" w:rsidP="00E06E11">
      <w:pPr>
        <w:spacing w:after="0" w:line="276" w:lineRule="auto"/>
        <w:jc w:val="both"/>
        <w:textAlignment w:val="baseline"/>
        <w:rPr>
          <w:rFonts w:ascii="Arial" w:eastAsia="Times New Roman" w:hAnsi="Arial" w:cs="Arial"/>
          <w:b/>
          <w:bCs/>
          <w:color w:val="000000"/>
          <w:sz w:val="24"/>
          <w:szCs w:val="24"/>
          <w:lang w:val="es-ES" w:eastAsia="es-MX"/>
        </w:rPr>
      </w:pPr>
    </w:p>
    <w:p w:rsidR="00E06E11" w:rsidRPr="009B3A82" w:rsidRDefault="00E06E11" w:rsidP="00E06E11">
      <w:pPr>
        <w:spacing w:after="0" w:line="276" w:lineRule="auto"/>
        <w:jc w:val="center"/>
        <w:textAlignment w:val="baseline"/>
        <w:rPr>
          <w:rFonts w:ascii="Arial" w:eastAsia="Times New Roman" w:hAnsi="Arial" w:cs="Arial"/>
          <w:b/>
          <w:bCs/>
          <w:color w:val="000000"/>
          <w:sz w:val="24"/>
          <w:szCs w:val="24"/>
          <w:lang w:val="es-ES" w:eastAsia="es-MX"/>
        </w:rPr>
      </w:pPr>
      <w:r w:rsidRPr="009B3A82">
        <w:rPr>
          <w:rFonts w:ascii="Arial" w:eastAsia="Times New Roman" w:hAnsi="Arial" w:cs="Arial"/>
          <w:b/>
          <w:bCs/>
          <w:color w:val="000000"/>
          <w:sz w:val="24"/>
          <w:szCs w:val="24"/>
          <w:lang w:val="es-ES" w:eastAsia="es-MX"/>
        </w:rPr>
        <w:t>CONCLUSIONES Y RECOMENDACIONES:</w:t>
      </w:r>
    </w:p>
    <w:p w:rsidR="00E06E11" w:rsidRPr="009B3A82" w:rsidRDefault="00E06E11" w:rsidP="00E06E11">
      <w:pPr>
        <w:spacing w:after="0" w:line="276" w:lineRule="auto"/>
        <w:jc w:val="center"/>
        <w:textAlignment w:val="baseline"/>
        <w:rPr>
          <w:rFonts w:ascii="Arial" w:eastAsia="Times New Roman" w:hAnsi="Arial" w:cs="Arial"/>
          <w:b/>
          <w:bCs/>
          <w:color w:val="000000"/>
          <w:sz w:val="24"/>
          <w:szCs w:val="24"/>
          <w:lang w:val="es-ES" w:eastAsia="es-MX"/>
        </w:rPr>
      </w:pPr>
    </w:p>
    <w:p w:rsidR="00E06E11" w:rsidRPr="009B3A82" w:rsidRDefault="00E06E11" w:rsidP="00E06E11">
      <w:pPr>
        <w:spacing w:after="0" w:line="276" w:lineRule="auto"/>
        <w:jc w:val="center"/>
        <w:textAlignment w:val="baseline"/>
        <w:rPr>
          <w:rFonts w:ascii="Arial" w:eastAsia="Times New Roman" w:hAnsi="Arial" w:cs="Arial"/>
          <w:bCs/>
          <w:color w:val="000000"/>
          <w:sz w:val="24"/>
          <w:szCs w:val="24"/>
          <w:lang w:val="es-ES" w:eastAsia="es-MX"/>
        </w:rPr>
      </w:pPr>
    </w:p>
    <w:p w:rsidR="00E06E11" w:rsidRPr="009B3A82" w:rsidRDefault="00E06E11" w:rsidP="00E06E11">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t>El área jurídica</w:t>
      </w:r>
      <w:r w:rsidRPr="009B3A82">
        <w:rPr>
          <w:rFonts w:ascii="Arial" w:eastAsia="Times New Roman" w:hAnsi="Arial" w:cs="Arial"/>
          <w:bCs/>
          <w:color w:val="000000"/>
          <w:sz w:val="24"/>
          <w:szCs w:val="24"/>
          <w:lang w:val="es-ES" w:eastAsia="es-MX"/>
        </w:rPr>
        <w:t xml:space="preserve"> tiene como recomendación y conclusión:</w:t>
      </w:r>
    </w:p>
    <w:p w:rsidR="00E06E11" w:rsidRDefault="00E06E11" w:rsidP="00E06E11">
      <w:pPr>
        <w:autoSpaceDE w:val="0"/>
        <w:autoSpaceDN w:val="0"/>
        <w:adjustRightInd w:val="0"/>
        <w:spacing w:after="0" w:line="240" w:lineRule="auto"/>
        <w:rPr>
          <w:rFonts w:ascii="Arial" w:eastAsia="Times New Roman" w:hAnsi="Arial" w:cs="Arial"/>
          <w:bCs/>
          <w:color w:val="000000"/>
          <w:sz w:val="24"/>
          <w:szCs w:val="24"/>
          <w:lang w:val="es-ES" w:eastAsia="es-MX"/>
        </w:rPr>
      </w:pPr>
      <w:r w:rsidRPr="009B3A82">
        <w:rPr>
          <w:rFonts w:ascii="Arial" w:eastAsia="Times New Roman" w:hAnsi="Arial" w:cs="Arial"/>
          <w:bCs/>
          <w:color w:val="000000"/>
          <w:sz w:val="24"/>
          <w:szCs w:val="24"/>
          <w:lang w:val="es-ES" w:eastAsia="es-MX"/>
        </w:rPr>
        <w:tab/>
      </w:r>
    </w:p>
    <w:p w:rsidR="00E06E11" w:rsidRPr="009B3A82" w:rsidRDefault="00E06E11" w:rsidP="00E06E11">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 xml:space="preserve"> </w:t>
      </w:r>
    </w:p>
    <w:p w:rsidR="00E06E11" w:rsidRDefault="00E06E11" w:rsidP="008D1ED4">
      <w:pPr>
        <w:pStyle w:val="paragraph"/>
        <w:spacing w:before="0" w:beforeAutospacing="0" w:after="0" w:afterAutospacing="0" w:line="360" w:lineRule="auto"/>
        <w:ind w:firstLine="709"/>
        <w:jc w:val="both"/>
        <w:textAlignment w:val="baseline"/>
        <w:rPr>
          <w:rStyle w:val="normaltextrun"/>
          <w:rFonts w:ascii="Arial" w:hAnsi="Arial" w:cs="Arial"/>
          <w:color w:val="000000"/>
        </w:rPr>
      </w:pPr>
      <w:r w:rsidRPr="009B3A82">
        <w:rPr>
          <w:rFonts w:ascii="Arial" w:hAnsi="Arial" w:cs="Arial"/>
          <w:bCs/>
          <w:color w:val="000000"/>
          <w:lang w:val="es-ES"/>
        </w:rPr>
        <w:tab/>
      </w:r>
      <w:r w:rsidR="001A3ED1">
        <w:rPr>
          <w:rStyle w:val="normaltextrun"/>
          <w:rFonts w:ascii="Arial" w:hAnsi="Arial" w:cs="Arial"/>
          <w:color w:val="000000"/>
        </w:rPr>
        <w:t>Durante el mes de enero</w:t>
      </w:r>
      <w:r>
        <w:rPr>
          <w:rStyle w:val="normaltextrun"/>
          <w:rFonts w:ascii="Arial" w:hAnsi="Arial" w:cs="Arial"/>
          <w:color w:val="000000"/>
        </w:rPr>
        <w:t xml:space="preserve"> se continuó dando difusión a cada uno de los servicios jurídicos que ofrece el CDM en conjunto con la IMM, </w:t>
      </w:r>
      <w:r w:rsidR="008D1ED4">
        <w:rPr>
          <w:rStyle w:val="normaltextrun"/>
          <w:rFonts w:ascii="Arial" w:hAnsi="Arial" w:cs="Arial"/>
          <w:color w:val="000000"/>
        </w:rPr>
        <w:t xml:space="preserve">por medio de la impartición de talleres en el municipio, </w:t>
      </w:r>
      <w:r>
        <w:rPr>
          <w:rStyle w:val="normaltextrun"/>
          <w:rFonts w:ascii="Arial" w:hAnsi="Arial" w:cs="Arial"/>
          <w:color w:val="000000"/>
        </w:rPr>
        <w:t>resaltando que son totalme</w:t>
      </w:r>
      <w:r w:rsidR="008D1ED4">
        <w:rPr>
          <w:rStyle w:val="normaltextrun"/>
          <w:rFonts w:ascii="Arial" w:hAnsi="Arial" w:cs="Arial"/>
          <w:color w:val="000000"/>
        </w:rPr>
        <w:t>nte gratuitos y confidenciales.</w:t>
      </w:r>
    </w:p>
    <w:p w:rsidR="008D1ED4" w:rsidRDefault="008D1ED4" w:rsidP="00E06E11">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p>
    <w:p w:rsidR="00E06E11" w:rsidRDefault="001A3ED1" w:rsidP="001A3ED1">
      <w:pPr>
        <w:pStyle w:val="paragraph"/>
        <w:spacing w:before="0" w:beforeAutospacing="0" w:after="0" w:afterAutospacing="0" w:line="360" w:lineRule="auto"/>
        <w:jc w:val="both"/>
        <w:textAlignment w:val="baseline"/>
        <w:rPr>
          <w:rStyle w:val="normaltextrun"/>
          <w:rFonts w:ascii="Arial" w:hAnsi="Arial" w:cs="Arial"/>
          <w:color w:val="000000"/>
          <w:lang w:val="es-ES"/>
        </w:rPr>
      </w:pPr>
      <w:r>
        <w:rPr>
          <w:rStyle w:val="normaltextrun"/>
          <w:rFonts w:ascii="Arial" w:hAnsi="Arial" w:cs="Arial"/>
          <w:color w:val="000000"/>
          <w:lang w:val="es-ES"/>
        </w:rPr>
        <w:tab/>
        <w:t xml:space="preserve">Es de importancia mencionar </w:t>
      </w:r>
      <w:r w:rsidR="008D1ED4">
        <w:rPr>
          <w:rStyle w:val="normaltextrun"/>
          <w:rFonts w:ascii="Arial" w:hAnsi="Arial" w:cs="Arial"/>
          <w:color w:val="000000"/>
          <w:lang w:val="es-ES"/>
        </w:rPr>
        <w:t xml:space="preserve">que </w:t>
      </w:r>
      <w:r>
        <w:rPr>
          <w:rStyle w:val="normaltextrun"/>
          <w:rFonts w:ascii="Arial" w:hAnsi="Arial" w:cs="Arial"/>
          <w:color w:val="000000"/>
          <w:lang w:val="es-ES"/>
        </w:rPr>
        <w:t>en el presente mes se dispararon las asesorías jurídicas</w:t>
      </w:r>
      <w:r w:rsidR="008D1ED4">
        <w:rPr>
          <w:rStyle w:val="normaltextrun"/>
          <w:rFonts w:ascii="Arial" w:hAnsi="Arial" w:cs="Arial"/>
          <w:color w:val="000000"/>
          <w:lang w:val="es-ES"/>
        </w:rPr>
        <w:t xml:space="preserve"> en el CDM, por lo que es preocupante para la profesionista en derecho, sobre lo que pasara con las usuarias que acudan a solicitar el servicio una vez que el proyecto quede suspendido por un tiempo.</w:t>
      </w:r>
    </w:p>
    <w:p w:rsidR="008D1ED4" w:rsidRDefault="008D1ED4" w:rsidP="001A3ED1">
      <w:pPr>
        <w:pStyle w:val="paragraph"/>
        <w:spacing w:before="0" w:beforeAutospacing="0" w:after="0" w:afterAutospacing="0" w:line="360" w:lineRule="auto"/>
        <w:jc w:val="both"/>
        <w:textAlignment w:val="baseline"/>
        <w:rPr>
          <w:rStyle w:val="normaltextrun"/>
          <w:rFonts w:ascii="Arial" w:hAnsi="Arial" w:cs="Arial"/>
          <w:color w:val="000000"/>
          <w:lang w:val="es-ES"/>
        </w:rPr>
      </w:pPr>
    </w:p>
    <w:p w:rsidR="00E06E11" w:rsidRDefault="00E06E11" w:rsidP="00E06E11">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r>
        <w:rPr>
          <w:rStyle w:val="normaltextrun"/>
          <w:rFonts w:ascii="Arial" w:hAnsi="Arial" w:cs="Arial"/>
          <w:color w:val="000000"/>
          <w:lang w:val="es-ES"/>
        </w:rPr>
        <w:t xml:space="preserve">El área jurídica impulsa la igualdad de género, buscando que se viva en convivencia sana en el municipio de San Martin de Hidalgo, buscando que todas y todos comprendan que tanto mujeres como hombres poseen las mismas oportunidades para desarrollarse en cualquier ámbito, así mismo que cuentan con los mismos derechos y las mismas obligaciones. </w:t>
      </w:r>
    </w:p>
    <w:p w:rsidR="00E06E11" w:rsidRDefault="00E06E11" w:rsidP="00E06E11">
      <w:pPr>
        <w:spacing w:after="0" w:line="360" w:lineRule="auto"/>
        <w:rPr>
          <w:rFonts w:ascii="Arial" w:eastAsia="Times New Roman" w:hAnsi="Arial" w:cs="Arial"/>
          <w:sz w:val="24"/>
          <w:szCs w:val="24"/>
          <w:lang w:val="es-ES" w:eastAsia="es-ES"/>
        </w:rPr>
      </w:pPr>
    </w:p>
    <w:p w:rsidR="00E06E11" w:rsidRPr="009B3A82" w:rsidRDefault="00E06E11" w:rsidP="00E06E11">
      <w:pPr>
        <w:spacing w:after="0" w:line="360" w:lineRule="auto"/>
        <w:jc w:val="center"/>
        <w:rPr>
          <w:rFonts w:ascii="Arial" w:eastAsia="Times New Roman" w:hAnsi="Arial" w:cs="Arial"/>
          <w:sz w:val="24"/>
          <w:szCs w:val="24"/>
          <w:lang w:val="es-ES" w:eastAsia="es-ES"/>
        </w:rPr>
      </w:pPr>
    </w:p>
    <w:p w:rsidR="00E06E11" w:rsidRPr="009B3A82" w:rsidRDefault="00E06E11" w:rsidP="00E06E11">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CENTROS PARA EL DESARROLLO DE LAS MUJERES</w:t>
      </w:r>
    </w:p>
    <w:p w:rsidR="00E06E11" w:rsidRPr="009B3A82" w:rsidRDefault="00E06E11" w:rsidP="00E06E11">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SAN </w:t>
      </w:r>
      <w:r>
        <w:rPr>
          <w:rFonts w:ascii="Arial" w:eastAsia="Times New Roman" w:hAnsi="Arial" w:cs="Arial"/>
          <w:sz w:val="24"/>
          <w:szCs w:val="24"/>
          <w:lang w:val="es-ES" w:eastAsia="es-ES"/>
        </w:rPr>
        <w:t>MA</w:t>
      </w:r>
      <w:r w:rsidR="008D1ED4">
        <w:rPr>
          <w:rFonts w:ascii="Arial" w:eastAsia="Times New Roman" w:hAnsi="Arial" w:cs="Arial"/>
          <w:sz w:val="24"/>
          <w:szCs w:val="24"/>
          <w:lang w:val="es-ES" w:eastAsia="es-ES"/>
        </w:rPr>
        <w:t>RTÍN HIDALGO, JALISCO. ENERO 2019</w:t>
      </w:r>
    </w:p>
    <w:p w:rsidR="00E06E11" w:rsidRPr="009B3A82" w:rsidRDefault="00E06E11" w:rsidP="00E06E11">
      <w:pPr>
        <w:spacing w:after="0" w:line="360" w:lineRule="auto"/>
        <w:jc w:val="center"/>
        <w:rPr>
          <w:rFonts w:ascii="Arial" w:eastAsia="Times New Roman" w:hAnsi="Arial" w:cs="Arial"/>
          <w:sz w:val="24"/>
          <w:szCs w:val="24"/>
          <w:lang w:val="es-ES" w:eastAsia="es-ES"/>
        </w:rPr>
      </w:pPr>
    </w:p>
    <w:p w:rsidR="00E06E11" w:rsidRPr="009B3A82" w:rsidRDefault="00E06E11" w:rsidP="00E06E11">
      <w:pPr>
        <w:spacing w:after="0" w:line="360" w:lineRule="auto"/>
        <w:jc w:val="center"/>
        <w:rPr>
          <w:rFonts w:ascii="Arial" w:eastAsia="Times New Roman" w:hAnsi="Arial" w:cs="Arial"/>
          <w:sz w:val="24"/>
          <w:szCs w:val="24"/>
          <w:lang w:val="es-ES" w:eastAsia="es-ES"/>
        </w:rPr>
      </w:pPr>
    </w:p>
    <w:p w:rsidR="00E06E11" w:rsidRDefault="006055E9" w:rsidP="00E06E11">
      <w:pPr>
        <w:tabs>
          <w:tab w:val="left" w:pos="0"/>
        </w:tabs>
        <w:spacing w:after="0" w:line="360" w:lineRule="auto"/>
        <w:jc w:val="center"/>
        <w:rPr>
          <w:rFonts w:ascii="Arial" w:eastAsia="Times New Roman" w:hAnsi="Arial" w:cs="Arial"/>
          <w:sz w:val="24"/>
          <w:szCs w:val="24"/>
          <w:lang w:val="es-ES" w:eastAsia="es-ES"/>
        </w:rPr>
      </w:pPr>
      <w:r>
        <w:rPr>
          <w:rFonts w:ascii="Arial" w:eastAsia="Times New Roman" w:hAnsi="Arial" w:cs="Arial"/>
          <w:sz w:val="24"/>
          <w:szCs w:val="24"/>
          <w:lang w:val="es-ES" w:eastAsia="es-ES"/>
        </w:rPr>
        <w:t>María Elena García Trujillo</w:t>
      </w:r>
    </w:p>
    <w:p w:rsidR="006055E9" w:rsidRPr="009B3A82" w:rsidRDefault="006055E9" w:rsidP="00E06E11">
      <w:pPr>
        <w:tabs>
          <w:tab w:val="left" w:pos="0"/>
        </w:tabs>
        <w:spacing w:after="0" w:line="360" w:lineRule="auto"/>
        <w:jc w:val="center"/>
        <w:rPr>
          <w:rFonts w:ascii="Arial" w:eastAsia="Times New Roman" w:hAnsi="Arial" w:cs="Arial"/>
          <w:sz w:val="24"/>
          <w:szCs w:val="24"/>
          <w:lang w:val="es-ES" w:eastAsia="es-ES"/>
        </w:rPr>
      </w:pPr>
      <w:r>
        <w:rPr>
          <w:rFonts w:ascii="Arial" w:eastAsia="Times New Roman" w:hAnsi="Arial" w:cs="Arial"/>
          <w:sz w:val="24"/>
          <w:szCs w:val="24"/>
          <w:lang w:val="es-ES" w:eastAsia="es-ES"/>
        </w:rPr>
        <w:t>Presidenta del IJM</w:t>
      </w:r>
      <w:bookmarkStart w:id="0" w:name="_GoBack"/>
      <w:bookmarkEnd w:id="0"/>
    </w:p>
    <w:p w:rsidR="00E06E11" w:rsidRPr="009B3A82" w:rsidRDefault="00E06E11" w:rsidP="00E06E11">
      <w:pPr>
        <w:tabs>
          <w:tab w:val="center" w:pos="4252"/>
          <w:tab w:val="left" w:pos="6225"/>
        </w:tabs>
        <w:spacing w:after="0" w:line="240" w:lineRule="auto"/>
        <w:jc w:val="center"/>
        <w:rPr>
          <w:rFonts w:ascii="Arial" w:eastAsia="Times New Roman" w:hAnsi="Arial" w:cs="Arial"/>
          <w:sz w:val="24"/>
          <w:szCs w:val="24"/>
          <w:lang w:val="es-ES" w:eastAsia="es-ES"/>
        </w:rPr>
      </w:pPr>
    </w:p>
    <w:p w:rsidR="00E06E11" w:rsidRPr="009B3A82" w:rsidRDefault="00E06E11" w:rsidP="00E06E11">
      <w:pPr>
        <w:tabs>
          <w:tab w:val="center" w:pos="4252"/>
          <w:tab w:val="left" w:pos="6225"/>
        </w:tabs>
        <w:spacing w:after="0" w:line="240" w:lineRule="auto"/>
        <w:jc w:val="center"/>
        <w:rPr>
          <w:rFonts w:ascii="Arial" w:eastAsia="Times New Roman" w:hAnsi="Arial" w:cs="Arial"/>
          <w:sz w:val="24"/>
          <w:szCs w:val="24"/>
          <w:lang w:val="es-ES" w:eastAsia="es-ES"/>
        </w:rPr>
        <w:sectPr w:rsidR="00E06E11" w:rsidRPr="009B3A82" w:rsidSect="008A2F37">
          <w:headerReference w:type="default" r:id="rId16"/>
          <w:footerReference w:type="default" r:id="rId17"/>
          <w:pgSz w:w="11906" w:h="16838"/>
          <w:pgMar w:top="1417" w:right="1701" w:bottom="1417" w:left="1701" w:header="708" w:footer="708" w:gutter="0"/>
          <w:cols w:space="708"/>
          <w:docGrid w:linePitch="360"/>
        </w:sectPr>
      </w:pPr>
      <w:r w:rsidRPr="009B3A82">
        <w:rPr>
          <w:rFonts w:ascii="Arial" w:eastAsia="Times New Roman" w:hAnsi="Arial" w:cs="Arial"/>
          <w:sz w:val="24"/>
          <w:szCs w:val="24"/>
          <w:lang w:val="es-ES" w:eastAsia="es-ES"/>
        </w:rPr>
        <w:t>Licda. en De</w:t>
      </w:r>
      <w:r>
        <w:rPr>
          <w:rFonts w:ascii="Arial" w:eastAsia="Times New Roman" w:hAnsi="Arial" w:cs="Arial"/>
          <w:sz w:val="24"/>
          <w:szCs w:val="24"/>
          <w:lang w:val="es-ES" w:eastAsia="es-ES"/>
        </w:rPr>
        <w:t>recho Thelma Yaneth Rubio Ava</w:t>
      </w:r>
      <w:r w:rsidR="008D1ED4">
        <w:rPr>
          <w:rFonts w:ascii="Arial" w:eastAsia="Times New Roman" w:hAnsi="Arial" w:cs="Arial"/>
          <w:sz w:val="24"/>
          <w:szCs w:val="24"/>
          <w:lang w:val="es-ES" w:eastAsia="es-ES"/>
        </w:rPr>
        <w:t>los</w:t>
      </w:r>
    </w:p>
    <w:p w:rsidR="007E72CC" w:rsidRDefault="007E72CC"/>
    <w:sectPr w:rsidR="007E72CC"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46A" w:rsidRDefault="00CB146A">
      <w:pPr>
        <w:spacing w:after="0" w:line="240" w:lineRule="auto"/>
      </w:pPr>
      <w:r>
        <w:separator/>
      </w:r>
    </w:p>
  </w:endnote>
  <w:endnote w:type="continuationSeparator" w:id="0">
    <w:p w:rsidR="00CB146A" w:rsidRDefault="00CB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426136"/>
      <w:docPartObj>
        <w:docPartGallery w:val="Page Numbers (Bottom of Page)"/>
        <w:docPartUnique/>
      </w:docPartObj>
    </w:sdtPr>
    <w:sdtEndPr/>
    <w:sdtContent>
      <w:p w:rsidR="00112399" w:rsidRDefault="008D1ED4" w:rsidP="00112399">
        <w:pPr>
          <w:pStyle w:val="Piedepgina"/>
          <w:jc w:val="right"/>
        </w:pPr>
        <w:r>
          <w:fldChar w:fldCharType="begin"/>
        </w:r>
        <w:r>
          <w:instrText>PAGE   \* MERGEFORMAT</w:instrText>
        </w:r>
        <w:r>
          <w:fldChar w:fldCharType="separate"/>
        </w:r>
        <w:r w:rsidR="006055E9">
          <w:rPr>
            <w:noProof/>
          </w:rPr>
          <w:t>11</w:t>
        </w:r>
        <w:r>
          <w:fldChar w:fldCharType="end"/>
        </w:r>
      </w:p>
    </w:sdtContent>
  </w:sdt>
  <w:p w:rsidR="00112399" w:rsidRDefault="00CB146A" w:rsidP="00112399">
    <w:pPr>
      <w:pStyle w:val="Piedepgina"/>
      <w:jc w:val="center"/>
      <w:rPr>
        <w:rFonts w:ascii="Arial" w:hAnsi="Arial" w:cs="Arial"/>
        <w:sz w:val="14"/>
        <w:szCs w:val="14"/>
      </w:rPr>
    </w:pPr>
  </w:p>
  <w:p w:rsidR="00112399" w:rsidRPr="005A4913" w:rsidRDefault="008D1ED4"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46A" w:rsidRDefault="00CB146A">
      <w:pPr>
        <w:spacing w:after="0" w:line="240" w:lineRule="auto"/>
      </w:pPr>
      <w:r>
        <w:separator/>
      </w:r>
    </w:p>
  </w:footnote>
  <w:footnote w:type="continuationSeparator" w:id="0">
    <w:p w:rsidR="00CB146A" w:rsidRDefault="00CB14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399" w:rsidRDefault="008D1ED4" w:rsidP="00112399">
    <w:pPr>
      <w:pStyle w:val="Encabezado"/>
      <w:jc w:val="center"/>
    </w:pPr>
    <w:r w:rsidRPr="000E3A19">
      <w:rPr>
        <w:b/>
        <w:noProof/>
        <w:color w:val="000000"/>
        <w:lang w:val="es-ES" w:eastAsia="es-ES"/>
      </w:rPr>
      <w:drawing>
        <wp:inline distT="0" distB="0" distL="0" distR="0" wp14:anchorId="1FB2EAF0" wp14:editId="2DEBAE2A">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ES" w:eastAsia="es-ES"/>
      </w:rPr>
      <w:drawing>
        <wp:inline distT="0" distB="0" distL="0" distR="0" wp14:anchorId="458544D8" wp14:editId="24AEE62A">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CB146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11"/>
    <w:rsid w:val="00132C26"/>
    <w:rsid w:val="001A3ED1"/>
    <w:rsid w:val="006055E9"/>
    <w:rsid w:val="007C5EA7"/>
    <w:rsid w:val="007E72CC"/>
    <w:rsid w:val="008D1ED4"/>
    <w:rsid w:val="00B00225"/>
    <w:rsid w:val="00CA4A37"/>
    <w:rsid w:val="00CB146A"/>
    <w:rsid w:val="00E06E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A3C2D-980B-46D8-8F80-E9CAAE42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E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06E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06E11"/>
  </w:style>
  <w:style w:type="paragraph" w:styleId="Piedepgina">
    <w:name w:val="footer"/>
    <w:basedOn w:val="Normal"/>
    <w:link w:val="PiedepginaCar"/>
    <w:uiPriority w:val="99"/>
    <w:semiHidden/>
    <w:unhideWhenUsed/>
    <w:rsid w:val="00E06E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06E11"/>
  </w:style>
  <w:style w:type="paragraph" w:customStyle="1" w:styleId="paragraph">
    <w:name w:val="paragraph"/>
    <w:basedOn w:val="Normal"/>
    <w:rsid w:val="00E06E1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E06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dPt>
          <c:cat>
            <c:strRef>
              <c:f>Hoja1!$A$2</c:f>
              <c:strCache>
                <c:ptCount val="1"/>
                <c:pt idx="0">
                  <c:v>Mujeres</c:v>
                </c:pt>
              </c:strCache>
            </c:strRef>
          </c:cat>
          <c:val>
            <c:numRef>
              <c:f>Hoja1!$B$2</c:f>
              <c:numCache>
                <c:formatCode>General</c:formatCode>
                <c:ptCount val="1"/>
                <c:pt idx="0">
                  <c:v>7</c:v>
                </c:pt>
              </c:numCache>
            </c:numRef>
          </c:val>
        </c:ser>
        <c:dLbls>
          <c:showLegendKey val="0"/>
          <c:showVal val="0"/>
          <c:showCatName val="0"/>
          <c:showSerName val="0"/>
          <c:showPercent val="0"/>
          <c:showBubbleSize val="0"/>
        </c:dLbls>
        <c:gapWidth val="100"/>
        <c:axId val="465835240"/>
        <c:axId val="470016816"/>
      </c:barChart>
      <c:catAx>
        <c:axId val="465835240"/>
        <c:scaling>
          <c:orientation val="minMax"/>
        </c:scaling>
        <c:delete val="0"/>
        <c:axPos val="l"/>
        <c:numFmt formatCode="General" sourceLinked="1"/>
        <c:majorTickMark val="out"/>
        <c:minorTickMark val="none"/>
        <c:tickLblPos val="nextTo"/>
        <c:crossAx val="470016816"/>
        <c:crosses val="autoZero"/>
        <c:auto val="1"/>
        <c:lblAlgn val="ctr"/>
        <c:lblOffset val="100"/>
        <c:noMultiLvlLbl val="0"/>
      </c:catAx>
      <c:valAx>
        <c:axId val="470016816"/>
        <c:scaling>
          <c:orientation val="minMax"/>
        </c:scaling>
        <c:delete val="0"/>
        <c:axPos val="b"/>
        <c:majorGridlines/>
        <c:numFmt formatCode="General" sourceLinked="1"/>
        <c:majorTickMark val="out"/>
        <c:minorTickMark val="none"/>
        <c:tickLblPos val="nextTo"/>
        <c:crossAx val="465835240"/>
        <c:crosses val="autoZero"/>
        <c:crossBetween val="between"/>
      </c:valAx>
      <c:dTable>
        <c:showHorzBorder val="1"/>
        <c:showVertBorder val="1"/>
        <c:showOutline val="1"/>
        <c:showKeys val="1"/>
      </c:dTable>
    </c:plotArea>
    <c:legend>
      <c:legendPos val="r"/>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E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Edad</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numCache>
            </c:numRef>
          </c:val>
        </c:ser>
        <c:ser>
          <c:idx val="1"/>
          <c:order val="1"/>
          <c:tx>
            <c:strRef>
              <c:f>Hoja1!$C$1</c:f>
              <c:strCache>
                <c:ptCount val="1"/>
                <c:pt idx="0">
                  <c:v>Mujeres</c:v>
                </c:pt>
              </c:strCache>
            </c:strRef>
          </c:tx>
          <c:spPr>
            <a:solidFill>
              <a:srgbClr val="FF0000"/>
            </a:solidFill>
          </c:spPr>
          <c:invertIfNegative val="0"/>
          <c:cat>
            <c:strRef>
              <c:f>Hoja1!$A$2:$A$6</c:f>
              <c:strCache>
                <c:ptCount val="5"/>
                <c:pt idx="0">
                  <c:v>0 a 14 años</c:v>
                </c:pt>
                <c:pt idx="1">
                  <c:v>15 a 29 años</c:v>
                </c:pt>
                <c:pt idx="2">
                  <c:v>30 a 44 años</c:v>
                </c:pt>
                <c:pt idx="3">
                  <c:v>45 a 59 años</c:v>
                </c:pt>
                <c:pt idx="4">
                  <c:v>60 años o más</c:v>
                </c:pt>
              </c:strCache>
            </c:strRef>
          </c:cat>
          <c:val>
            <c:numRef>
              <c:f>Hoja1!$C$2:$C$6</c:f>
              <c:numCache>
                <c:formatCode>General</c:formatCode>
                <c:ptCount val="5"/>
                <c:pt idx="0">
                  <c:v>0</c:v>
                </c:pt>
                <c:pt idx="1">
                  <c:v>1</c:v>
                </c:pt>
                <c:pt idx="2">
                  <c:v>4</c:v>
                </c:pt>
                <c:pt idx="3">
                  <c:v>2</c:v>
                </c:pt>
                <c:pt idx="4">
                  <c:v>0</c:v>
                </c:pt>
              </c:numCache>
            </c:numRef>
          </c:val>
        </c:ser>
        <c:dLbls>
          <c:showLegendKey val="0"/>
          <c:showVal val="0"/>
          <c:showCatName val="0"/>
          <c:showSerName val="0"/>
          <c:showPercent val="0"/>
          <c:showBubbleSize val="0"/>
        </c:dLbls>
        <c:gapWidth val="219"/>
        <c:axId val="470017992"/>
        <c:axId val="470018384"/>
      </c:barChart>
      <c:catAx>
        <c:axId val="47001799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ES"/>
          </a:p>
        </c:txPr>
        <c:crossAx val="470018384"/>
        <c:crosses val="autoZero"/>
        <c:auto val="1"/>
        <c:lblAlgn val="ctr"/>
        <c:lblOffset val="100"/>
        <c:noMultiLvlLbl val="0"/>
      </c:catAx>
      <c:valAx>
        <c:axId val="47001838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470017992"/>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E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LOCALIDAD DE 
PROCEDENCIA</c:v>
                </c:pt>
              </c:strCache>
            </c:strRef>
          </c:tx>
          <c:spPr>
            <a:solidFill>
              <a:srgbClr val="5B9BD5"/>
            </a:solidFill>
            <a:ln w="25377">
              <a:noFill/>
            </a:ln>
          </c:spPr>
          <c:invertIfNegative val="0"/>
          <c:cat>
            <c:strRef>
              <c:f>Hoja1!$A$2:$A$4</c:f>
              <c:strCache>
                <c:ptCount val="3"/>
                <c:pt idx="0">
                  <c:v>San Martín Hidalgo</c:v>
                </c:pt>
                <c:pt idx="1">
                  <c:v>Crucero de Santa Maria</c:v>
                </c:pt>
                <c:pt idx="2">
                  <c:v>El Salitre</c:v>
                </c:pt>
              </c:strCache>
            </c:strRef>
          </c:cat>
          <c:val>
            <c:numRef>
              <c:f>Hoja1!$B$2:$B$4</c:f>
              <c:numCache>
                <c:formatCode>General</c:formatCode>
                <c:ptCount val="3"/>
              </c:numCache>
            </c:numRef>
          </c:val>
        </c:ser>
        <c:ser>
          <c:idx val="1"/>
          <c:order val="1"/>
          <c:tx>
            <c:strRef>
              <c:f>Hoja1!$C$1</c:f>
              <c:strCache>
                <c:ptCount val="1"/>
                <c:pt idx="0">
                  <c:v>Mujeres</c:v>
                </c:pt>
              </c:strCache>
            </c:strRef>
          </c:tx>
          <c:spPr>
            <a:solidFill>
              <a:srgbClr val="7030A0"/>
            </a:solidFill>
          </c:spPr>
          <c:invertIfNegative val="0"/>
          <c:cat>
            <c:strRef>
              <c:f>Hoja1!$A$2:$A$4</c:f>
              <c:strCache>
                <c:ptCount val="3"/>
                <c:pt idx="0">
                  <c:v>San Martín Hidalgo</c:v>
                </c:pt>
                <c:pt idx="1">
                  <c:v>Crucero de Santa Maria</c:v>
                </c:pt>
                <c:pt idx="2">
                  <c:v>El Salitre</c:v>
                </c:pt>
              </c:strCache>
            </c:strRef>
          </c:cat>
          <c:val>
            <c:numRef>
              <c:f>Hoja1!$C$2:$C$4</c:f>
              <c:numCache>
                <c:formatCode>General</c:formatCode>
                <c:ptCount val="3"/>
                <c:pt idx="0">
                  <c:v>3</c:v>
                </c:pt>
                <c:pt idx="1">
                  <c:v>2</c:v>
                </c:pt>
                <c:pt idx="2">
                  <c:v>2</c:v>
                </c:pt>
              </c:numCache>
            </c:numRef>
          </c:val>
        </c:ser>
        <c:dLbls>
          <c:showLegendKey val="0"/>
          <c:showVal val="0"/>
          <c:showCatName val="0"/>
          <c:showSerName val="0"/>
          <c:showPercent val="0"/>
          <c:showBubbleSize val="0"/>
        </c:dLbls>
        <c:gapWidth val="182"/>
        <c:axId val="470019560"/>
        <c:axId val="470019168"/>
      </c:barChart>
      <c:catAx>
        <c:axId val="470019560"/>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ES"/>
          </a:p>
        </c:txPr>
        <c:crossAx val="470019168"/>
        <c:crosses val="autoZero"/>
        <c:auto val="1"/>
        <c:lblAlgn val="ctr"/>
        <c:lblOffset val="100"/>
        <c:noMultiLvlLbl val="0"/>
      </c:catAx>
      <c:valAx>
        <c:axId val="470019168"/>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ES"/>
          </a:p>
        </c:txPr>
        <c:crossAx val="470019560"/>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ES"/>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49"/>
      </a:pPr>
      <a:endParaRPr lang="es-E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GRADO DE 
ESTUDIOS</c:v>
                </c:pt>
              </c:strCache>
            </c:strRef>
          </c:tx>
          <c:spPr>
            <a:solidFill>
              <a:schemeClr val="dk1">
                <a:tint val="88500"/>
              </a:schemeClr>
            </a:solidFill>
            <a:ln>
              <a:noFill/>
            </a:ln>
            <a:effectLst/>
          </c:spPr>
          <c:invertIfNegative val="0"/>
          <c:cat>
            <c:strRef>
              <c:f>Hoja1!$A$2:$A$7</c:f>
              <c:strCache>
                <c:ptCount val="6"/>
                <c:pt idx="0">
                  <c:v>Prescolar</c:v>
                </c:pt>
                <c:pt idx="1">
                  <c:v>Primaria</c:v>
                </c:pt>
                <c:pt idx="2">
                  <c:v>Secundaria</c:v>
                </c:pt>
                <c:pt idx="3">
                  <c:v>Preparatoria</c:v>
                </c:pt>
                <c:pt idx="4">
                  <c:v>Universidad</c:v>
                </c:pt>
                <c:pt idx="5">
                  <c:v>Alfabeta</c:v>
                </c:pt>
              </c:strCache>
            </c:strRef>
          </c:cat>
          <c:val>
            <c:numRef>
              <c:f>Hoja1!$B$2:$B$7</c:f>
              <c:numCache>
                <c:formatCode>General</c:formatCode>
                <c:ptCount val="6"/>
              </c:numCache>
            </c:numRef>
          </c:val>
        </c:ser>
        <c:ser>
          <c:idx val="1"/>
          <c:order val="1"/>
          <c:tx>
            <c:strRef>
              <c:f>Hoja1!$C$1</c:f>
              <c:strCache>
                <c:ptCount val="1"/>
                <c:pt idx="0">
                  <c:v>Mujeres</c:v>
                </c:pt>
              </c:strCache>
            </c:strRef>
          </c:tx>
          <c:spPr>
            <a:solidFill>
              <a:srgbClr val="FFFF00"/>
            </a:solidFill>
            <a:ln>
              <a:noFill/>
            </a:ln>
            <a:effectLst/>
          </c:spPr>
          <c:invertIfNegative val="0"/>
          <c:cat>
            <c:strRef>
              <c:f>Hoja1!$A$2:$A$7</c:f>
              <c:strCache>
                <c:ptCount val="6"/>
                <c:pt idx="0">
                  <c:v>Prescolar</c:v>
                </c:pt>
                <c:pt idx="1">
                  <c:v>Primaria</c:v>
                </c:pt>
                <c:pt idx="2">
                  <c:v>Secundaria</c:v>
                </c:pt>
                <c:pt idx="3">
                  <c:v>Preparatoria</c:v>
                </c:pt>
                <c:pt idx="4">
                  <c:v>Universidad</c:v>
                </c:pt>
                <c:pt idx="5">
                  <c:v>Alfabeta</c:v>
                </c:pt>
              </c:strCache>
            </c:strRef>
          </c:cat>
          <c:val>
            <c:numRef>
              <c:f>Hoja1!$C$2:$C$7</c:f>
              <c:numCache>
                <c:formatCode>General</c:formatCode>
                <c:ptCount val="6"/>
                <c:pt idx="0">
                  <c:v>0</c:v>
                </c:pt>
                <c:pt idx="1">
                  <c:v>1</c:v>
                </c:pt>
                <c:pt idx="2">
                  <c:v>5</c:v>
                </c:pt>
                <c:pt idx="3">
                  <c:v>0</c:v>
                </c:pt>
                <c:pt idx="4">
                  <c:v>1</c:v>
                </c:pt>
                <c:pt idx="5">
                  <c:v>0</c:v>
                </c:pt>
              </c:numCache>
            </c:numRef>
          </c:val>
        </c:ser>
        <c:dLbls>
          <c:showLegendKey val="0"/>
          <c:showVal val="0"/>
          <c:showCatName val="0"/>
          <c:showSerName val="0"/>
          <c:showPercent val="0"/>
          <c:showBubbleSize val="0"/>
        </c:dLbls>
        <c:gapWidth val="182"/>
        <c:axId val="581457896"/>
        <c:axId val="581458680"/>
      </c:barChart>
      <c:catAx>
        <c:axId val="58145789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ES"/>
          </a:p>
        </c:txPr>
        <c:crossAx val="581458680"/>
        <c:crosses val="autoZero"/>
        <c:auto val="1"/>
        <c:lblAlgn val="ctr"/>
        <c:lblOffset val="100"/>
        <c:noMultiLvlLbl val="0"/>
      </c:catAx>
      <c:valAx>
        <c:axId val="581458680"/>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ES"/>
          </a:p>
        </c:txPr>
        <c:crossAx val="58145789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ES"/>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E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Hoja1!$A$2:$A$4</c:f>
              <c:strCache>
                <c:ptCount val="3"/>
                <c:pt idx="0">
                  <c:v>Empleada/o</c:v>
                </c:pt>
                <c:pt idx="1">
                  <c:v>Comerciante</c:v>
                </c:pt>
                <c:pt idx="2">
                  <c:v>Desempleada</c:v>
                </c:pt>
              </c:strCache>
            </c:strRef>
          </c:cat>
          <c:val>
            <c:numRef>
              <c:f>Hoja1!$B$2:$B$4</c:f>
              <c:numCache>
                <c:formatCode>General</c:formatCode>
                <c:ptCount val="3"/>
              </c:numCache>
            </c:numRef>
          </c:val>
        </c:ser>
        <c:ser>
          <c:idx val="1"/>
          <c:order val="1"/>
          <c:tx>
            <c:strRef>
              <c:f>Hoja1!$C$1</c:f>
              <c:strCache>
                <c:ptCount val="1"/>
                <c:pt idx="0">
                  <c:v>Mujeres</c:v>
                </c:pt>
              </c:strCache>
            </c:strRef>
          </c:tx>
          <c:spPr>
            <a:solidFill>
              <a:srgbClr val="FF0000"/>
            </a:solidFill>
          </c:spPr>
          <c:invertIfNegative val="0"/>
          <c:cat>
            <c:strRef>
              <c:f>Hoja1!$A$2:$A$4</c:f>
              <c:strCache>
                <c:ptCount val="3"/>
                <c:pt idx="0">
                  <c:v>Empleada/o</c:v>
                </c:pt>
                <c:pt idx="1">
                  <c:v>Comerciante</c:v>
                </c:pt>
                <c:pt idx="2">
                  <c:v>Desempleada</c:v>
                </c:pt>
              </c:strCache>
            </c:strRef>
          </c:cat>
          <c:val>
            <c:numRef>
              <c:f>Hoja1!$C$2:$C$4</c:f>
              <c:numCache>
                <c:formatCode>General</c:formatCode>
                <c:ptCount val="3"/>
                <c:pt idx="0">
                  <c:v>4</c:v>
                </c:pt>
                <c:pt idx="1">
                  <c:v>1</c:v>
                </c:pt>
                <c:pt idx="2">
                  <c:v>2</c:v>
                </c:pt>
              </c:numCache>
            </c:numRef>
          </c:val>
        </c:ser>
        <c:dLbls>
          <c:showLegendKey val="0"/>
          <c:showVal val="0"/>
          <c:showCatName val="0"/>
          <c:showSerName val="0"/>
          <c:showPercent val="0"/>
          <c:showBubbleSize val="0"/>
        </c:dLbls>
        <c:gapWidth val="219"/>
        <c:axId val="581457112"/>
        <c:axId val="581456328"/>
      </c:barChart>
      <c:catAx>
        <c:axId val="58145711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ES"/>
          </a:p>
        </c:txPr>
        <c:crossAx val="581456328"/>
        <c:crosses val="autoZero"/>
        <c:auto val="1"/>
        <c:lblAlgn val="ctr"/>
        <c:lblOffset val="100"/>
        <c:noMultiLvlLbl val="0"/>
      </c:catAx>
      <c:valAx>
        <c:axId val="581456328"/>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ES"/>
          </a:p>
        </c:txPr>
        <c:crossAx val="58145711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ES"/>
          </a:p>
        </c:txPr>
      </c:dTable>
      <c:spPr>
        <a:noFill/>
        <a:ln w="25377">
          <a:noFill/>
        </a:ln>
      </c:spPr>
    </c:plotArea>
    <c:legend>
      <c:legendPos val="b"/>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E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cat>
            <c:strRef>
              <c:f>Hoja1!$A$2:$A$3</c:f>
              <c:strCache>
                <c:ptCount val="2"/>
                <c:pt idx="0">
                  <c:v>Casado/a</c:v>
                </c:pt>
                <c:pt idx="1">
                  <c:v>Soltera</c:v>
                </c:pt>
              </c:strCache>
            </c:strRef>
          </c:cat>
          <c:val>
            <c:numRef>
              <c:f>Hoja1!$B$2:$B$3</c:f>
              <c:numCache>
                <c:formatCode>General</c:formatCode>
                <c:ptCount val="2"/>
              </c:numCache>
            </c:numRef>
          </c:val>
        </c:ser>
        <c:ser>
          <c:idx val="1"/>
          <c:order val="1"/>
          <c:tx>
            <c:strRef>
              <c:f>Hoja1!$C$1</c:f>
              <c:strCache>
                <c:ptCount val="1"/>
                <c:pt idx="0">
                  <c:v>Mujeres</c:v>
                </c:pt>
              </c:strCache>
            </c:strRef>
          </c:tx>
          <c:spPr>
            <a:solidFill>
              <a:srgbClr val="FFFF00"/>
            </a:solidFill>
          </c:spPr>
          <c:invertIfNegative val="0"/>
          <c:cat>
            <c:strRef>
              <c:f>Hoja1!$A$2:$A$3</c:f>
              <c:strCache>
                <c:ptCount val="2"/>
                <c:pt idx="0">
                  <c:v>Casado/a</c:v>
                </c:pt>
                <c:pt idx="1">
                  <c:v>Soltera</c:v>
                </c:pt>
              </c:strCache>
            </c:strRef>
          </c:cat>
          <c:val>
            <c:numRef>
              <c:f>Hoja1!$C$2:$C$3</c:f>
              <c:numCache>
                <c:formatCode>General</c:formatCode>
                <c:ptCount val="2"/>
                <c:pt idx="0">
                  <c:v>5</c:v>
                </c:pt>
                <c:pt idx="1">
                  <c:v>2</c:v>
                </c:pt>
              </c:numCache>
            </c:numRef>
          </c:val>
        </c:ser>
        <c:dLbls>
          <c:showLegendKey val="0"/>
          <c:showVal val="0"/>
          <c:showCatName val="0"/>
          <c:showSerName val="0"/>
          <c:showPercent val="0"/>
          <c:showBubbleSize val="0"/>
        </c:dLbls>
        <c:gapWidth val="100"/>
        <c:axId val="581459856"/>
        <c:axId val="465484880"/>
      </c:barChart>
      <c:catAx>
        <c:axId val="581459856"/>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ES"/>
          </a:p>
        </c:txPr>
        <c:crossAx val="465484880"/>
        <c:crosses val="autoZero"/>
        <c:auto val="1"/>
        <c:lblAlgn val="ctr"/>
        <c:lblOffset val="100"/>
        <c:noMultiLvlLbl val="0"/>
      </c:catAx>
      <c:valAx>
        <c:axId val="465484880"/>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ES"/>
          </a:p>
        </c:txPr>
        <c:crossAx val="581459856"/>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ES"/>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E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numCache>
            </c:numRef>
          </c:val>
        </c:ser>
        <c:ser>
          <c:idx val="1"/>
          <c:order val="1"/>
          <c:tx>
            <c:strRef>
              <c:f>Hoja1!$C$1</c:f>
              <c:strCache>
                <c:ptCount val="1"/>
                <c:pt idx="0">
                  <c:v>Mujeres</c:v>
                </c:pt>
              </c:strCache>
            </c:strRef>
          </c:tx>
          <c:spPr>
            <a:solidFill>
              <a:srgbClr val="C00000"/>
            </a:solidFill>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6</c:v>
                </c:pt>
                <c:pt idx="1">
                  <c:v>2</c:v>
                </c:pt>
                <c:pt idx="2">
                  <c:v>6</c:v>
                </c:pt>
                <c:pt idx="3">
                  <c:v>2</c:v>
                </c:pt>
              </c:numCache>
            </c:numRef>
          </c:val>
        </c:ser>
        <c:dLbls>
          <c:showLegendKey val="0"/>
          <c:showVal val="0"/>
          <c:showCatName val="0"/>
          <c:showSerName val="0"/>
          <c:showPercent val="0"/>
          <c:showBubbleSize val="0"/>
        </c:dLbls>
        <c:gapWidth val="182"/>
        <c:axId val="465485664"/>
        <c:axId val="465486448"/>
      </c:barChart>
      <c:catAx>
        <c:axId val="46548566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ES"/>
          </a:p>
        </c:txPr>
        <c:crossAx val="465486448"/>
        <c:crosses val="autoZero"/>
        <c:auto val="1"/>
        <c:lblAlgn val="ctr"/>
        <c:lblOffset val="100"/>
        <c:noMultiLvlLbl val="0"/>
      </c:catAx>
      <c:valAx>
        <c:axId val="46548644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ES"/>
          </a:p>
        </c:txPr>
        <c:crossAx val="465485664"/>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vert="horz"/>
        <a:lstStyle/>
        <a:p>
          <a:pPr>
            <a:defRPr/>
          </a:pPr>
          <a:endParaRPr lang="es-ES"/>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E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dPt>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Hoja1!$B$2:$B$7</c:f>
              <c:numCache>
                <c:formatCode>General</c:formatCode>
                <c:ptCount val="6"/>
              </c:numCache>
            </c:numRef>
          </c:val>
        </c:ser>
        <c:ser>
          <c:idx val="1"/>
          <c:order val="1"/>
          <c:tx>
            <c:strRef>
              <c:f>Hoja1!$C$1</c:f>
              <c:strCache>
                <c:ptCount val="1"/>
                <c:pt idx="0">
                  <c:v>Mujeres</c:v>
                </c:pt>
              </c:strCache>
            </c:strRef>
          </c:tx>
          <c:spPr>
            <a:solidFill>
              <a:srgbClr val="FFFF00"/>
            </a:solidFill>
          </c:spPr>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Hoja1!$C$2:$C$7</c:f>
              <c:numCache>
                <c:formatCode>General</c:formatCode>
                <c:ptCount val="6"/>
                <c:pt idx="0">
                  <c:v>6</c:v>
                </c:pt>
              </c:numCache>
            </c:numRef>
          </c:val>
        </c:ser>
        <c:dLbls>
          <c:showLegendKey val="0"/>
          <c:showVal val="0"/>
          <c:showCatName val="0"/>
          <c:showSerName val="0"/>
          <c:showPercent val="0"/>
          <c:showBubbleSize val="0"/>
        </c:dLbls>
        <c:gapWidth val="100"/>
        <c:axId val="465484488"/>
        <c:axId val="465485272"/>
      </c:barChart>
      <c:catAx>
        <c:axId val="465484488"/>
        <c:scaling>
          <c:orientation val="minMax"/>
        </c:scaling>
        <c:delete val="0"/>
        <c:axPos val="l"/>
        <c:numFmt formatCode="General" sourceLinked="1"/>
        <c:majorTickMark val="out"/>
        <c:minorTickMark val="none"/>
        <c:tickLblPos val="nextTo"/>
        <c:crossAx val="465485272"/>
        <c:crosses val="autoZero"/>
        <c:auto val="1"/>
        <c:lblAlgn val="ctr"/>
        <c:lblOffset val="100"/>
        <c:noMultiLvlLbl val="0"/>
      </c:catAx>
      <c:valAx>
        <c:axId val="465485272"/>
        <c:scaling>
          <c:orientation val="minMax"/>
        </c:scaling>
        <c:delete val="0"/>
        <c:axPos val="b"/>
        <c:majorGridlines/>
        <c:numFmt formatCode="General" sourceLinked="1"/>
        <c:majorTickMark val="out"/>
        <c:minorTickMark val="none"/>
        <c:tickLblPos val="nextTo"/>
        <c:crossAx val="465484488"/>
        <c:crosses val="autoZero"/>
        <c:crossBetween val="between"/>
      </c:valAx>
      <c:dTable>
        <c:showHorzBorder val="1"/>
        <c:showVertBorder val="1"/>
        <c:showOutline val="1"/>
        <c:showKeys val="1"/>
      </c:dTable>
    </c:plotArea>
    <c:legend>
      <c:legendPos val="b"/>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E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Instituciones de
Canalización</c:v>
                </c:pt>
              </c:strCache>
            </c:strRef>
          </c:tx>
          <c:spPr>
            <a:solidFill>
              <a:srgbClr val="FFC000"/>
            </a:solidFill>
            <a:ln w="25404">
              <a:noFill/>
            </a:ln>
          </c:spPr>
          <c:invertIfNegative val="0"/>
          <c:cat>
            <c:strRef>
              <c:f>Hoja1!$A$2:$A$6</c:f>
              <c:strCache>
                <c:ptCount val="2"/>
                <c:pt idx="0">
                  <c:v>Ministerio Público</c:v>
                </c:pt>
                <c:pt idx="1">
                  <c:v>Procuraduría Social</c:v>
                </c:pt>
              </c:strCache>
            </c:strRef>
          </c:cat>
          <c:val>
            <c:numRef>
              <c:f>Hoja1!$B$2:$B$6</c:f>
              <c:numCache>
                <c:formatCode>General</c:formatCode>
                <c:ptCount val="5"/>
              </c:numCache>
            </c:numRef>
          </c:val>
        </c:ser>
        <c:ser>
          <c:idx val="1"/>
          <c:order val="1"/>
          <c:tx>
            <c:strRef>
              <c:f>Hoja1!$C$1</c:f>
              <c:strCache>
                <c:ptCount val="1"/>
                <c:pt idx="0">
                  <c:v>Mujeres</c:v>
                </c:pt>
              </c:strCache>
            </c:strRef>
          </c:tx>
          <c:spPr>
            <a:solidFill>
              <a:srgbClr val="4472C4">
                <a:lumMod val="50000"/>
              </a:srgbClr>
            </a:solidFill>
          </c:spPr>
          <c:invertIfNegative val="0"/>
          <c:cat>
            <c:strRef>
              <c:f>Hoja1!$A$2:$A$6</c:f>
              <c:strCache>
                <c:ptCount val="2"/>
                <c:pt idx="0">
                  <c:v>Ministerio Público</c:v>
                </c:pt>
                <c:pt idx="1">
                  <c:v>Procuraduría Social</c:v>
                </c:pt>
              </c:strCache>
            </c:strRef>
          </c:cat>
          <c:val>
            <c:numRef>
              <c:f>Hoja1!$C$2:$C$6</c:f>
              <c:numCache>
                <c:formatCode>General</c:formatCode>
                <c:ptCount val="5"/>
                <c:pt idx="0">
                  <c:v>5</c:v>
                </c:pt>
                <c:pt idx="1">
                  <c:v>5</c:v>
                </c:pt>
              </c:numCache>
            </c:numRef>
          </c:val>
        </c:ser>
        <c:dLbls>
          <c:showLegendKey val="0"/>
          <c:showVal val="0"/>
          <c:showCatName val="0"/>
          <c:showSerName val="0"/>
          <c:showPercent val="0"/>
          <c:showBubbleSize val="0"/>
        </c:dLbls>
        <c:gapWidth val="150"/>
        <c:axId val="582894288"/>
        <c:axId val="582899384"/>
      </c:barChart>
      <c:catAx>
        <c:axId val="582894288"/>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ES"/>
          </a:p>
        </c:txPr>
        <c:crossAx val="582899384"/>
        <c:crosses val="autoZero"/>
        <c:auto val="1"/>
        <c:lblAlgn val="ctr"/>
        <c:lblOffset val="100"/>
        <c:noMultiLvlLbl val="0"/>
      </c:catAx>
      <c:valAx>
        <c:axId val="582899384"/>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ES"/>
          </a:p>
        </c:txPr>
        <c:crossAx val="582894288"/>
        <c:crosses val="autoZero"/>
        <c:crossBetween val="between"/>
        <c:majorUnit val="1"/>
      </c:valAx>
      <c:dTable>
        <c:showHorzBorder val="1"/>
        <c:showVertBorder val="1"/>
        <c:showOutline val="1"/>
        <c:showKeys val="1"/>
        <c:txPr>
          <a:bodyPr/>
          <a:lstStyle/>
          <a:p>
            <a:pPr rtl="0">
              <a:defRPr sz="801"/>
            </a:pPr>
            <a:endParaRPr lang="es-ES"/>
          </a:p>
        </c:txPr>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ES"/>
    </a:p>
  </c:txPr>
  <c:externalData r:id="rId2">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66</TotalTime>
  <Pages>12</Pages>
  <Words>1501</Words>
  <Characters>8259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San Martin Hgo</dc:creator>
  <cp:keywords/>
  <dc:description/>
  <cp:lastModifiedBy>Sandra Patricia Olivares</cp:lastModifiedBy>
  <cp:revision>3</cp:revision>
  <dcterms:created xsi:type="dcterms:W3CDTF">2019-01-28T05:49:00Z</dcterms:created>
  <dcterms:modified xsi:type="dcterms:W3CDTF">2019-01-28T22:16:00Z</dcterms:modified>
</cp:coreProperties>
</file>